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A8A431D" w:rsidR="0012209D" w:rsidRDefault="002D1A1E" w:rsidP="00321CAA">
            <w:r>
              <w:t>02</w:t>
            </w:r>
            <w:r w:rsidRPr="002D1A1E">
              <w:rPr>
                <w:vertAlign w:val="superscript"/>
              </w:rPr>
              <w:t>nd</w:t>
            </w:r>
            <w:r>
              <w:t xml:space="preserve"> December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549"/>
        <w:gridCol w:w="845"/>
        <w:gridCol w:w="1723"/>
      </w:tblGrid>
      <w:tr w:rsidR="0012209D" w14:paraId="15BF086F" w14:textId="77777777" w:rsidTr="00984565">
        <w:tc>
          <w:tcPr>
            <w:tcW w:w="2510" w:type="dxa"/>
            <w:shd w:val="clear" w:color="auto" w:fill="D9D9D9" w:themeFill="background1" w:themeFillShade="D9"/>
          </w:tcPr>
          <w:p w14:paraId="15BF086D" w14:textId="77777777" w:rsidR="0012209D" w:rsidRDefault="0012209D" w:rsidP="00321CAA">
            <w:r>
              <w:t>Post title:</w:t>
            </w:r>
          </w:p>
        </w:tc>
        <w:tc>
          <w:tcPr>
            <w:tcW w:w="7117" w:type="dxa"/>
            <w:gridSpan w:val="3"/>
          </w:tcPr>
          <w:p w14:paraId="15BF086E" w14:textId="49F67659" w:rsidR="00DE680D" w:rsidRPr="00447FD8" w:rsidRDefault="009558B2" w:rsidP="00DE680D">
            <w:pPr>
              <w:rPr>
                <w:b/>
                <w:bCs/>
              </w:rPr>
            </w:pPr>
            <w:r>
              <w:rPr>
                <w:b/>
                <w:bCs/>
              </w:rPr>
              <w:t xml:space="preserve">Associate Director </w:t>
            </w:r>
            <w:r w:rsidR="006D6978">
              <w:rPr>
                <w:b/>
                <w:bCs/>
              </w:rPr>
              <w:t>Stude</w:t>
            </w:r>
            <w:r w:rsidR="00DE680D">
              <w:rPr>
                <w:b/>
                <w:bCs/>
              </w:rPr>
              <w:t xml:space="preserve">nt Community </w:t>
            </w:r>
            <w:r w:rsidR="00DA4F4B">
              <w:rPr>
                <w:b/>
                <w:bCs/>
              </w:rPr>
              <w:t xml:space="preserve">and Experience </w:t>
            </w:r>
          </w:p>
        </w:tc>
      </w:tr>
      <w:tr w:rsidR="0012209D" w14:paraId="15BF0875" w14:textId="77777777" w:rsidTr="00984565">
        <w:tc>
          <w:tcPr>
            <w:tcW w:w="2510" w:type="dxa"/>
            <w:shd w:val="clear" w:color="auto" w:fill="D9D9D9" w:themeFill="background1" w:themeFillShade="D9"/>
          </w:tcPr>
          <w:p w14:paraId="15BF0873" w14:textId="51F32DA9" w:rsidR="0012209D" w:rsidRDefault="00C12F81" w:rsidP="00321CAA">
            <w:r>
              <w:t>School/Department</w:t>
            </w:r>
            <w:r w:rsidR="0012209D">
              <w:t>:</w:t>
            </w:r>
          </w:p>
        </w:tc>
        <w:tc>
          <w:tcPr>
            <w:tcW w:w="7117" w:type="dxa"/>
            <w:gridSpan w:val="3"/>
          </w:tcPr>
          <w:p w14:paraId="15BF0874" w14:textId="618D3485" w:rsidR="0012209D" w:rsidRDefault="006D6978" w:rsidP="00321CAA">
            <w:r>
              <w:t xml:space="preserve">Student </w:t>
            </w:r>
            <w:r w:rsidR="00816EEA">
              <w:t>Experience and Engagement</w:t>
            </w:r>
            <w:r>
              <w:t xml:space="preserve"> </w:t>
            </w:r>
          </w:p>
        </w:tc>
      </w:tr>
      <w:tr w:rsidR="00746AEB" w14:paraId="07201851" w14:textId="77777777" w:rsidTr="00984565">
        <w:tc>
          <w:tcPr>
            <w:tcW w:w="2510" w:type="dxa"/>
            <w:shd w:val="clear" w:color="auto" w:fill="D9D9D9" w:themeFill="background1" w:themeFillShade="D9"/>
          </w:tcPr>
          <w:p w14:paraId="158400D7" w14:textId="4B829CEE" w:rsidR="00746AEB" w:rsidRDefault="00746AEB" w:rsidP="00321CAA">
            <w:r>
              <w:t>Faculty:</w:t>
            </w:r>
          </w:p>
        </w:tc>
        <w:tc>
          <w:tcPr>
            <w:tcW w:w="7117" w:type="dxa"/>
            <w:gridSpan w:val="3"/>
          </w:tcPr>
          <w:p w14:paraId="7A897A27" w14:textId="75305E4D" w:rsidR="00746AEB" w:rsidRDefault="002336BF" w:rsidP="00321CAA">
            <w:r>
              <w:t xml:space="preserve">Student Experience Directorate </w:t>
            </w:r>
          </w:p>
        </w:tc>
      </w:tr>
      <w:tr w:rsidR="0012209D" w14:paraId="15BF087A" w14:textId="77777777" w:rsidTr="00984565">
        <w:tc>
          <w:tcPr>
            <w:tcW w:w="2510" w:type="dxa"/>
            <w:shd w:val="clear" w:color="auto" w:fill="D9D9D9" w:themeFill="background1" w:themeFillShade="D9"/>
          </w:tcPr>
          <w:p w14:paraId="15BF0876" w14:textId="44B3D55B" w:rsidR="0012209D" w:rsidRDefault="00746AEB" w:rsidP="00746AEB">
            <w:r>
              <w:t>Career P</w:t>
            </w:r>
            <w:r w:rsidR="0012209D">
              <w:t>athway:</w:t>
            </w:r>
          </w:p>
        </w:tc>
        <w:tc>
          <w:tcPr>
            <w:tcW w:w="4549" w:type="dxa"/>
          </w:tcPr>
          <w:p w14:paraId="15BF0877" w14:textId="599B6633" w:rsidR="0012209D" w:rsidRDefault="00E37792" w:rsidP="00FF246F">
            <w:r>
              <w:t>Management, Specialist and Administrative (MSA)</w:t>
            </w:r>
          </w:p>
        </w:tc>
        <w:tc>
          <w:tcPr>
            <w:tcW w:w="845" w:type="dxa"/>
            <w:shd w:val="clear" w:color="auto" w:fill="D9D9D9" w:themeFill="background1" w:themeFillShade="D9"/>
          </w:tcPr>
          <w:p w14:paraId="15BF0878" w14:textId="77777777" w:rsidR="0012209D" w:rsidRDefault="0012209D" w:rsidP="00321CAA">
            <w:r>
              <w:t>Level:</w:t>
            </w:r>
          </w:p>
        </w:tc>
        <w:tc>
          <w:tcPr>
            <w:tcW w:w="1723" w:type="dxa"/>
          </w:tcPr>
          <w:p w14:paraId="15BF0879" w14:textId="4BEA147F" w:rsidR="0012209D" w:rsidRDefault="0065560D" w:rsidP="00321CAA">
            <w:r>
              <w:t>6</w:t>
            </w:r>
          </w:p>
        </w:tc>
      </w:tr>
      <w:tr w:rsidR="0012209D" w14:paraId="15BF0881" w14:textId="77777777" w:rsidTr="00984565">
        <w:tc>
          <w:tcPr>
            <w:tcW w:w="2510" w:type="dxa"/>
            <w:shd w:val="clear" w:color="auto" w:fill="D9D9D9" w:themeFill="background1" w:themeFillShade="D9"/>
          </w:tcPr>
          <w:p w14:paraId="15BF087F" w14:textId="77777777" w:rsidR="0012209D" w:rsidRDefault="0012209D" w:rsidP="00321CAA">
            <w:r>
              <w:t>Posts responsible to:</w:t>
            </w:r>
          </w:p>
        </w:tc>
        <w:tc>
          <w:tcPr>
            <w:tcW w:w="7117" w:type="dxa"/>
            <w:gridSpan w:val="3"/>
          </w:tcPr>
          <w:p w14:paraId="15BF0880" w14:textId="633660BE" w:rsidR="0012209D" w:rsidRPr="005508A2" w:rsidRDefault="002336BF" w:rsidP="00321CAA">
            <w:r>
              <w:t>Director of Student Experience and Engagement</w:t>
            </w:r>
          </w:p>
        </w:tc>
      </w:tr>
      <w:tr w:rsidR="0012209D" w14:paraId="15BF0884" w14:textId="77777777" w:rsidTr="00984565">
        <w:tc>
          <w:tcPr>
            <w:tcW w:w="2510" w:type="dxa"/>
            <w:shd w:val="clear" w:color="auto" w:fill="D9D9D9" w:themeFill="background1" w:themeFillShade="D9"/>
          </w:tcPr>
          <w:p w14:paraId="15BF0882" w14:textId="77777777" w:rsidR="0012209D" w:rsidRDefault="0012209D" w:rsidP="00321CAA">
            <w:r>
              <w:t>Posts responsible for:</w:t>
            </w:r>
          </w:p>
        </w:tc>
        <w:tc>
          <w:tcPr>
            <w:tcW w:w="7117" w:type="dxa"/>
            <w:gridSpan w:val="3"/>
          </w:tcPr>
          <w:p w14:paraId="097A6378" w14:textId="63ACE15C" w:rsidR="0012209D" w:rsidRDefault="002336BF" w:rsidP="00321CAA">
            <w:r>
              <w:t>Head of Student Communications</w:t>
            </w:r>
          </w:p>
          <w:p w14:paraId="7A4E6222" w14:textId="5D8DDF72" w:rsidR="008E4A7D" w:rsidRDefault="00F678CD" w:rsidP="00321CAA">
            <w:r>
              <w:t>Head of Student Events (Community)</w:t>
            </w:r>
          </w:p>
          <w:p w14:paraId="7CF29131" w14:textId="2E218530" w:rsidR="00F678CD" w:rsidRDefault="00F678CD" w:rsidP="00321CAA">
            <w:r>
              <w:t>Head of Student Events (Graduation a</w:t>
            </w:r>
            <w:r w:rsidR="00B948A8">
              <w:t>nd Celebrations)</w:t>
            </w:r>
          </w:p>
          <w:p w14:paraId="15BF0883" w14:textId="5E5BF237" w:rsidR="00054D1A" w:rsidRPr="005508A2" w:rsidRDefault="00054D1A" w:rsidP="00321CAA"/>
        </w:tc>
      </w:tr>
      <w:tr w:rsidR="0012209D" w14:paraId="15BF0887" w14:textId="77777777" w:rsidTr="00984565">
        <w:tc>
          <w:tcPr>
            <w:tcW w:w="2510" w:type="dxa"/>
            <w:shd w:val="clear" w:color="auto" w:fill="D9D9D9" w:themeFill="background1" w:themeFillShade="D9"/>
          </w:tcPr>
          <w:p w14:paraId="15BF0885" w14:textId="77777777" w:rsidR="0012209D" w:rsidRDefault="0012209D" w:rsidP="00321CAA">
            <w:r>
              <w:t>Post base:</w:t>
            </w:r>
          </w:p>
        </w:tc>
        <w:tc>
          <w:tcPr>
            <w:tcW w:w="7117" w:type="dxa"/>
            <w:gridSpan w:val="3"/>
          </w:tcPr>
          <w:p w14:paraId="15BF0886" w14:textId="5633DE89"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40C6B548" w:rsidR="005D3265" w:rsidRPr="005D3265" w:rsidRDefault="00E23A19" w:rsidP="00742B40">
            <w:pPr>
              <w:rPr>
                <w:color w:val="FF0000"/>
              </w:rPr>
            </w:pPr>
            <w:r>
              <w:t xml:space="preserve">As Associate Director </w:t>
            </w:r>
            <w:r w:rsidR="00E73FB8">
              <w:t>Student Community and Experience you will lead professional services student experience action planning</w:t>
            </w:r>
            <w:r w:rsidR="00FE2431">
              <w:t xml:space="preserve"> to build community and belonging</w:t>
            </w:r>
            <w:r w:rsidR="00E73FB8">
              <w:t xml:space="preserve"> as well as the oversight of the delivery of campaigns associated with survey completion. </w:t>
            </w:r>
            <w:r w:rsidR="00C82FBA">
              <w:t xml:space="preserve"> The post</w:t>
            </w:r>
            <w:r w:rsidR="002A2AA9">
              <w:t xml:space="preserve"> will be responsible for the day-to-day operational leadership of Student Communications and Student </w:t>
            </w:r>
            <w:r w:rsidR="00A867C0">
              <w:t>Events</w:t>
            </w:r>
            <w:r w:rsidR="00C77277">
              <w:t xml:space="preserve"> (including Graduation and Welcome)</w:t>
            </w:r>
            <w:r w:rsidR="002D1A1E">
              <w:t>, overseeing the day to day operational relationship with SUSU</w:t>
            </w:r>
            <w:r w:rsidR="007B3551">
              <w:t xml:space="preserve"> </w:t>
            </w:r>
            <w:r w:rsidR="00984D52">
              <w:t xml:space="preserve"> and in overseeing the task and finish groups </w:t>
            </w:r>
            <w:r w:rsidR="008304E4">
              <w:t xml:space="preserve">put in place to ensure students are effectively welcomed and welcomed back to University.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lastRenderedPageBreak/>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67596">
        <w:trPr>
          <w:cantSplit/>
        </w:trPr>
        <w:tc>
          <w:tcPr>
            <w:tcW w:w="606" w:type="dxa"/>
            <w:tcBorders>
              <w:right w:val="nil"/>
            </w:tcBorders>
          </w:tcPr>
          <w:p w14:paraId="15BF0891" w14:textId="77777777" w:rsidR="0012209D" w:rsidRDefault="0012209D" w:rsidP="0012209D">
            <w:pPr>
              <w:pStyle w:val="ListParagraph"/>
              <w:numPr>
                <w:ilvl w:val="0"/>
                <w:numId w:val="17"/>
              </w:numPr>
            </w:pPr>
          </w:p>
        </w:tc>
        <w:tc>
          <w:tcPr>
            <w:tcW w:w="8118" w:type="dxa"/>
            <w:tcBorders>
              <w:left w:val="nil"/>
            </w:tcBorders>
          </w:tcPr>
          <w:p w14:paraId="62B43C84" w14:textId="60BF347D" w:rsidR="0012209D" w:rsidRDefault="00526C0F" w:rsidP="00321CAA">
            <w:r>
              <w:t>Leadership</w:t>
            </w:r>
          </w:p>
          <w:p w14:paraId="18CF4A8E" w14:textId="44FDB2D2" w:rsidR="00526C0F" w:rsidRDefault="00526C0F" w:rsidP="00321CAA">
            <w:r>
              <w:t>Provide professional and strategic leadership to the Student Community and Experience team, developing ambitious strategies to ensure the delivery of the University</w:t>
            </w:r>
            <w:r w:rsidR="003A7E96">
              <w:t xml:space="preserve"> institutional objectives</w:t>
            </w:r>
          </w:p>
          <w:p w14:paraId="77ADC06F" w14:textId="43299AB1" w:rsidR="00AB4C08" w:rsidRDefault="00AB4C08" w:rsidP="00AB4C08">
            <w:pPr>
              <w:pStyle w:val="ListParagraph"/>
              <w:numPr>
                <w:ilvl w:val="0"/>
                <w:numId w:val="19"/>
              </w:numPr>
            </w:pPr>
            <w:r>
              <w:t>To be responsible for operational</w:t>
            </w:r>
            <w:r w:rsidR="000A09B2">
              <w:t>ising student engagement and student communications strategic action plans</w:t>
            </w:r>
          </w:p>
          <w:p w14:paraId="56C3CF33" w14:textId="7877084B" w:rsidR="003A7E96" w:rsidRDefault="003A7E96" w:rsidP="00AB4C08">
            <w:pPr>
              <w:pStyle w:val="ListParagraph"/>
              <w:numPr>
                <w:ilvl w:val="0"/>
                <w:numId w:val="19"/>
              </w:numPr>
            </w:pPr>
            <w:r>
              <w:t xml:space="preserve">Leading in the delivery of professional services action planning as it relates to </w:t>
            </w:r>
            <w:r w:rsidR="002872A4">
              <w:t>student survey action planning</w:t>
            </w:r>
          </w:p>
          <w:p w14:paraId="2E2059DC" w14:textId="5D958AD4" w:rsidR="00490B90" w:rsidRDefault="00490B90" w:rsidP="00AB4C08">
            <w:pPr>
              <w:pStyle w:val="ListParagraph"/>
              <w:numPr>
                <w:ilvl w:val="0"/>
                <w:numId w:val="19"/>
              </w:numPr>
            </w:pPr>
            <w:r>
              <w:t xml:space="preserve">Identifying, prioritising and delivering cross-institutional </w:t>
            </w:r>
            <w:r w:rsidR="00FE2431">
              <w:t xml:space="preserve">campaigns </w:t>
            </w:r>
            <w:r>
              <w:t xml:space="preserve">which provide a best in sector student experience </w:t>
            </w:r>
          </w:p>
          <w:p w14:paraId="40E2ABC6" w14:textId="77777777" w:rsidR="000A09B2" w:rsidRDefault="000A09B2" w:rsidP="00AB4C08">
            <w:pPr>
              <w:pStyle w:val="ListParagraph"/>
              <w:numPr>
                <w:ilvl w:val="0"/>
                <w:numId w:val="19"/>
              </w:numPr>
            </w:pPr>
            <w:r>
              <w:t>C</w:t>
            </w:r>
            <w:r w:rsidR="00054D1A">
              <w:t xml:space="preserve">ommunicating the vision </w:t>
            </w:r>
            <w:r w:rsidR="00271088">
              <w:t>and strategy for the Service, providing positive moti</w:t>
            </w:r>
            <w:r w:rsidR="003D5280">
              <w:t>vation and leadership</w:t>
            </w:r>
          </w:p>
          <w:p w14:paraId="2C347A60" w14:textId="76AB4620" w:rsidR="003D5280" w:rsidRDefault="003D5280" w:rsidP="00AB4C08">
            <w:pPr>
              <w:pStyle w:val="ListParagraph"/>
              <w:numPr>
                <w:ilvl w:val="0"/>
                <w:numId w:val="19"/>
              </w:numPr>
            </w:pPr>
            <w:r>
              <w:t>Lead and manage new and existing service-wide projects and initiatives</w:t>
            </w:r>
          </w:p>
          <w:p w14:paraId="55F8B5F6" w14:textId="03A1EF2C" w:rsidR="003D5280" w:rsidRDefault="00AC45EB" w:rsidP="00AB4C08">
            <w:pPr>
              <w:pStyle w:val="ListParagraph"/>
              <w:numPr>
                <w:ilvl w:val="0"/>
                <w:numId w:val="19"/>
              </w:numPr>
            </w:pPr>
            <w:r>
              <w:t>L</w:t>
            </w:r>
            <w:r w:rsidR="005C137F">
              <w:t>ead the liaison across professional services as it relates to Student Communications</w:t>
            </w:r>
          </w:p>
          <w:p w14:paraId="0862E9FF" w14:textId="5780FEA0" w:rsidR="00C22A0F" w:rsidRDefault="00C22A0F" w:rsidP="00AB4C08">
            <w:pPr>
              <w:pStyle w:val="ListParagraph"/>
              <w:numPr>
                <w:ilvl w:val="0"/>
                <w:numId w:val="19"/>
              </w:numPr>
            </w:pPr>
            <w:r>
              <w:t>Promote and oversee wider cross team working</w:t>
            </w:r>
            <w:r w:rsidR="00FA4C4E">
              <w:t xml:space="preserve">  within SED and with key internal and external partners</w:t>
            </w:r>
          </w:p>
          <w:p w14:paraId="6002924A" w14:textId="09763FCE" w:rsidR="00FA4C4E" w:rsidRDefault="00FA4C4E" w:rsidP="00AB4C08">
            <w:pPr>
              <w:pStyle w:val="ListParagraph"/>
              <w:numPr>
                <w:ilvl w:val="0"/>
                <w:numId w:val="19"/>
              </w:numPr>
            </w:pPr>
            <w:r>
              <w:t>Provide authoritative expert advice and guidance to the Director of Student E</w:t>
            </w:r>
            <w:r w:rsidR="009220E5">
              <w:t>xperience and Engagement and the wider SED and relevant professional services leadership teams on all matters relating to student communications and engagement and proactively engage in external development on behalf of the University</w:t>
            </w:r>
          </w:p>
          <w:p w14:paraId="0482B291" w14:textId="4990361E" w:rsidR="002E7EFB" w:rsidRDefault="002E7EFB" w:rsidP="00AB4C08">
            <w:pPr>
              <w:pStyle w:val="ListParagraph"/>
              <w:numPr>
                <w:ilvl w:val="0"/>
                <w:numId w:val="19"/>
              </w:numPr>
            </w:pPr>
            <w:r>
              <w:t>Ensure activities are appropriately resources according to strategic priorities</w:t>
            </w:r>
          </w:p>
          <w:p w14:paraId="087338C4" w14:textId="3DEC381E" w:rsidR="002E7EFB" w:rsidRDefault="002E7EFB" w:rsidP="00AB4C08">
            <w:pPr>
              <w:pStyle w:val="ListParagraph"/>
              <w:numPr>
                <w:ilvl w:val="0"/>
                <w:numId w:val="19"/>
              </w:numPr>
            </w:pPr>
            <w:r>
              <w:t>To oversee the application of strategic ambitions in an operational setting</w:t>
            </w:r>
          </w:p>
          <w:p w14:paraId="15BF0892" w14:textId="0453BD5F" w:rsidR="00AC45EB" w:rsidRDefault="00AC45EB" w:rsidP="005C137F"/>
        </w:tc>
        <w:tc>
          <w:tcPr>
            <w:tcW w:w="1027" w:type="dxa"/>
          </w:tcPr>
          <w:p w14:paraId="15BF0893" w14:textId="12F22D1F" w:rsidR="0012209D" w:rsidRDefault="007556C9" w:rsidP="00321CAA">
            <w:r>
              <w:t>30</w:t>
            </w:r>
            <w:r w:rsidR="00343D93">
              <w:t xml:space="preserve"> %</w:t>
            </w:r>
          </w:p>
        </w:tc>
      </w:tr>
      <w:tr w:rsidR="0012209D" w14:paraId="15BF0898" w14:textId="77777777" w:rsidTr="00467596">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6EB48F56" w14:textId="4E924D41" w:rsidR="0012209D" w:rsidRDefault="002E7EFB" w:rsidP="00C31B06">
            <w:r>
              <w:t xml:space="preserve">Management </w:t>
            </w:r>
          </w:p>
          <w:p w14:paraId="74ADD5B7" w14:textId="4BECB209" w:rsidR="007B12F6" w:rsidRDefault="007B12F6" w:rsidP="002E7EFB">
            <w:pPr>
              <w:pStyle w:val="ListParagraph"/>
              <w:numPr>
                <w:ilvl w:val="0"/>
                <w:numId w:val="19"/>
              </w:numPr>
            </w:pPr>
            <w:r>
              <w:t>Manage the University’s day-to-day operational relationship with the Student Union to ensure effective collaboration, particularly in relation to student representation</w:t>
            </w:r>
          </w:p>
          <w:p w14:paraId="3E9739A0" w14:textId="5DAA989E" w:rsidR="002E7EFB" w:rsidRDefault="002E7EFB" w:rsidP="002E7EFB">
            <w:pPr>
              <w:pStyle w:val="ListParagraph"/>
              <w:numPr>
                <w:ilvl w:val="0"/>
                <w:numId w:val="19"/>
              </w:numPr>
            </w:pPr>
            <w:r>
              <w:t>To foster, uph</w:t>
            </w:r>
            <w:r w:rsidR="00094D9C">
              <w:t xml:space="preserve">old and </w:t>
            </w:r>
            <w:r w:rsidR="00817BB1">
              <w:t>maintain a culture of respect, professionalism and high quality output</w:t>
            </w:r>
          </w:p>
          <w:p w14:paraId="02C77126" w14:textId="77777777" w:rsidR="00C15534" w:rsidRDefault="00C15534" w:rsidP="002E7EFB">
            <w:pPr>
              <w:pStyle w:val="ListParagraph"/>
              <w:numPr>
                <w:ilvl w:val="0"/>
                <w:numId w:val="19"/>
              </w:numPr>
            </w:pPr>
            <w:r>
              <w:t xml:space="preserve">To ensure the principles of </w:t>
            </w:r>
            <w:r w:rsidR="00DB1ABE">
              <w:t>the student communications and engagement action plans are embedded into operational thinking</w:t>
            </w:r>
          </w:p>
          <w:p w14:paraId="7A217C66" w14:textId="77777777" w:rsidR="00DB1ABE" w:rsidRDefault="00DB1ABE" w:rsidP="002E7EFB">
            <w:pPr>
              <w:pStyle w:val="ListParagraph"/>
              <w:numPr>
                <w:ilvl w:val="0"/>
                <w:numId w:val="19"/>
              </w:numPr>
            </w:pPr>
            <w:r>
              <w:t>To encourage a culture of continuing professional development</w:t>
            </w:r>
          </w:p>
          <w:p w14:paraId="4065A01E" w14:textId="77777777" w:rsidR="00DB1ABE" w:rsidRDefault="00DB1ABE" w:rsidP="002E7EFB">
            <w:pPr>
              <w:pStyle w:val="ListParagraph"/>
              <w:numPr>
                <w:ilvl w:val="0"/>
                <w:numId w:val="19"/>
              </w:numPr>
            </w:pPr>
            <w:r>
              <w:t xml:space="preserve">To implement, </w:t>
            </w:r>
            <w:r w:rsidR="00B60598">
              <w:t xml:space="preserve">maintain and oversee structures and working which support productive and nuanced working relationships </w:t>
            </w:r>
            <w:r w:rsidR="00682BF4">
              <w:t>between Student Experience and Engagement and the wider University</w:t>
            </w:r>
          </w:p>
          <w:p w14:paraId="2700C7F9" w14:textId="77777777" w:rsidR="00682BF4" w:rsidRDefault="00A1166B" w:rsidP="002E7EFB">
            <w:pPr>
              <w:pStyle w:val="ListParagraph"/>
              <w:numPr>
                <w:ilvl w:val="0"/>
                <w:numId w:val="19"/>
              </w:numPr>
            </w:pPr>
            <w:r>
              <w:t>To line manage section heads of department and oversight of associated projects</w:t>
            </w:r>
            <w:r w:rsidR="005D6530">
              <w:t>, ensuring that workflows are aligned, complementary, efficient and effective</w:t>
            </w:r>
          </w:p>
          <w:p w14:paraId="15BF0896" w14:textId="0DF5D704" w:rsidR="005D6530" w:rsidRDefault="005D6530" w:rsidP="002E7EFB">
            <w:pPr>
              <w:pStyle w:val="ListParagraph"/>
              <w:numPr>
                <w:ilvl w:val="0"/>
                <w:numId w:val="19"/>
              </w:numPr>
            </w:pPr>
            <w:r>
              <w:t xml:space="preserve">To oversee the operational budget for the department </w:t>
            </w:r>
          </w:p>
        </w:tc>
        <w:tc>
          <w:tcPr>
            <w:tcW w:w="1027" w:type="dxa"/>
          </w:tcPr>
          <w:p w14:paraId="15BF0897" w14:textId="4D922758" w:rsidR="0012209D" w:rsidRDefault="007556C9" w:rsidP="00321CAA">
            <w:r>
              <w:t>30</w:t>
            </w:r>
            <w:r w:rsidR="00343D93">
              <w:t>%</w:t>
            </w:r>
          </w:p>
        </w:tc>
      </w:tr>
      <w:tr w:rsidR="0012209D" w14:paraId="15BF089C" w14:textId="77777777" w:rsidTr="00467596">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64D50307" w14:textId="77777777" w:rsidR="0012209D" w:rsidRDefault="00C43280" w:rsidP="00EE13FB">
            <w:r>
              <w:t>Programme excellence</w:t>
            </w:r>
          </w:p>
          <w:p w14:paraId="1FF2A0B9" w14:textId="77777777" w:rsidR="00C43280" w:rsidRDefault="00C43280" w:rsidP="00C43280">
            <w:pPr>
              <w:pStyle w:val="ListParagraph"/>
              <w:numPr>
                <w:ilvl w:val="0"/>
                <w:numId w:val="19"/>
              </w:numPr>
            </w:pPr>
            <w:r>
              <w:t>To oversee deli</w:t>
            </w:r>
            <w:r w:rsidR="00A963D3">
              <w:t>very of activity to the highest possible quality, supporting section heads and their teams by providing advocacy, clear expectations of standards, guidance,</w:t>
            </w:r>
            <w:r w:rsidR="00973BF1">
              <w:t xml:space="preserve"> objective and goal setting. </w:t>
            </w:r>
          </w:p>
          <w:p w14:paraId="07D0BE3A" w14:textId="77777777" w:rsidR="0046180E" w:rsidRDefault="0046180E" w:rsidP="00C43280">
            <w:pPr>
              <w:pStyle w:val="ListParagraph"/>
              <w:numPr>
                <w:ilvl w:val="0"/>
                <w:numId w:val="19"/>
              </w:numPr>
            </w:pPr>
            <w:r>
              <w:t>To support section hea</w:t>
            </w:r>
            <w:r w:rsidR="00573E56">
              <w:t>ds to continuously improve and develop their areas of work based on changing landscapes, student and stakeholder input and University strategic priorities</w:t>
            </w:r>
          </w:p>
          <w:p w14:paraId="29C93E1B" w14:textId="77777777" w:rsidR="00573E56" w:rsidRDefault="00573E56" w:rsidP="00C43280">
            <w:pPr>
              <w:pStyle w:val="ListParagraph"/>
              <w:numPr>
                <w:ilvl w:val="0"/>
                <w:numId w:val="19"/>
              </w:numPr>
            </w:pPr>
            <w:r>
              <w:t>To ensure the programme of activity is created in partnership with relevant professional services and faculty colleagues</w:t>
            </w:r>
            <w:r w:rsidR="00AB3121">
              <w:t xml:space="preserve"> and the Students Union</w:t>
            </w:r>
            <w:r>
              <w:t xml:space="preserve">, and is alignment with wider strategic objectives and </w:t>
            </w:r>
            <w:r w:rsidR="00AB3121">
              <w:t>aims</w:t>
            </w:r>
          </w:p>
          <w:p w14:paraId="7ACDAB46" w14:textId="77777777" w:rsidR="00AB3121" w:rsidRDefault="00AB3121" w:rsidP="00C43280">
            <w:pPr>
              <w:pStyle w:val="ListParagraph"/>
              <w:numPr>
                <w:ilvl w:val="0"/>
                <w:numId w:val="19"/>
              </w:numPr>
            </w:pPr>
            <w:r>
              <w:t xml:space="preserve">To identify and connect links between projects to intensify and amplify </w:t>
            </w:r>
            <w:r w:rsidR="006546B7">
              <w:t>outputs</w:t>
            </w:r>
          </w:p>
          <w:p w14:paraId="35662FDF" w14:textId="77777777" w:rsidR="006546B7" w:rsidRDefault="000C4B47" w:rsidP="00C43280">
            <w:pPr>
              <w:pStyle w:val="ListParagraph"/>
              <w:numPr>
                <w:ilvl w:val="0"/>
                <w:numId w:val="19"/>
              </w:numPr>
            </w:pPr>
            <w:r>
              <w:t>To  ensure engagement with the work of the teams across the University</w:t>
            </w:r>
          </w:p>
          <w:p w14:paraId="15BF089A" w14:textId="0573082B" w:rsidR="000C4B47" w:rsidRDefault="000C4B47" w:rsidP="00C43280">
            <w:pPr>
              <w:pStyle w:val="ListParagraph"/>
              <w:numPr>
                <w:ilvl w:val="0"/>
                <w:numId w:val="19"/>
              </w:numPr>
            </w:pPr>
            <w:r>
              <w:t xml:space="preserve">To monitor and review activity contribution to strategic ambitions, adjusting the scope and scale as necessary </w:t>
            </w:r>
          </w:p>
        </w:tc>
        <w:tc>
          <w:tcPr>
            <w:tcW w:w="1027" w:type="dxa"/>
          </w:tcPr>
          <w:p w14:paraId="15BF089B" w14:textId="3EB0E4D3" w:rsidR="0012209D" w:rsidRDefault="007B183A" w:rsidP="00321CAA">
            <w:r>
              <w:t>2</w:t>
            </w:r>
            <w:r w:rsidR="007556C9">
              <w:t>0</w:t>
            </w:r>
            <w:r w:rsidR="00343D93">
              <w:t xml:space="preserve"> %</w:t>
            </w:r>
          </w:p>
        </w:tc>
      </w:tr>
      <w:tr w:rsidR="0012209D" w14:paraId="15BF08A0" w14:textId="77777777" w:rsidTr="00467596">
        <w:trPr>
          <w:cantSplit/>
        </w:trPr>
        <w:tc>
          <w:tcPr>
            <w:tcW w:w="606" w:type="dxa"/>
            <w:tcBorders>
              <w:right w:val="nil"/>
            </w:tcBorders>
          </w:tcPr>
          <w:p w14:paraId="15BF089D" w14:textId="77777777" w:rsidR="0012209D" w:rsidRDefault="0012209D" w:rsidP="0012209D">
            <w:pPr>
              <w:pStyle w:val="ListParagraph"/>
              <w:numPr>
                <w:ilvl w:val="0"/>
                <w:numId w:val="17"/>
              </w:numPr>
            </w:pPr>
          </w:p>
        </w:tc>
        <w:tc>
          <w:tcPr>
            <w:tcW w:w="8118" w:type="dxa"/>
            <w:tcBorders>
              <w:left w:val="nil"/>
            </w:tcBorders>
          </w:tcPr>
          <w:p w14:paraId="15BF089E" w14:textId="5747D67C" w:rsidR="0012209D" w:rsidRDefault="00D71C9B" w:rsidP="00321CAA">
            <w:r>
              <w:t>Provide concise and informed</w:t>
            </w:r>
            <w:r w:rsidR="00191436">
              <w:t xml:space="preserve"> </w:t>
            </w:r>
            <w:r w:rsidR="00553893">
              <w:t xml:space="preserve">reports </w:t>
            </w:r>
            <w:r w:rsidR="00761EC3">
              <w:t xml:space="preserve">of </w:t>
            </w:r>
            <w:r w:rsidR="00553B6E">
              <w:t>briefing</w:t>
            </w:r>
            <w:r w:rsidR="00DF227E">
              <w:t xml:space="preserve"> notes of a high standard  for the Director or members of the senior lead</w:t>
            </w:r>
            <w:r w:rsidR="00FF4AA8">
              <w:t xml:space="preserve">ership team against tight deadline upon request. </w:t>
            </w:r>
          </w:p>
        </w:tc>
        <w:tc>
          <w:tcPr>
            <w:tcW w:w="1027" w:type="dxa"/>
          </w:tcPr>
          <w:p w14:paraId="15BF089F" w14:textId="3A2947DC" w:rsidR="0012209D" w:rsidRDefault="002D1A1E" w:rsidP="00321CAA">
            <w:r>
              <w:t xml:space="preserve">5 </w:t>
            </w:r>
            <w:r w:rsidR="00343D93">
              <w:t>%</w:t>
            </w:r>
          </w:p>
        </w:tc>
      </w:tr>
      <w:tr w:rsidR="0012209D" w14:paraId="15BF08A4" w14:textId="77777777" w:rsidTr="00467596">
        <w:trPr>
          <w:cantSplit/>
        </w:trPr>
        <w:tc>
          <w:tcPr>
            <w:tcW w:w="606" w:type="dxa"/>
            <w:tcBorders>
              <w:right w:val="nil"/>
            </w:tcBorders>
          </w:tcPr>
          <w:p w14:paraId="15BF08A1" w14:textId="77777777" w:rsidR="0012209D" w:rsidRDefault="0012209D" w:rsidP="0012209D">
            <w:pPr>
              <w:pStyle w:val="ListParagraph"/>
              <w:numPr>
                <w:ilvl w:val="0"/>
                <w:numId w:val="17"/>
              </w:numPr>
            </w:pPr>
          </w:p>
        </w:tc>
        <w:tc>
          <w:tcPr>
            <w:tcW w:w="8118" w:type="dxa"/>
            <w:tcBorders>
              <w:left w:val="nil"/>
            </w:tcBorders>
          </w:tcPr>
          <w:p w14:paraId="15BF08A2" w14:textId="7D35C9DA" w:rsidR="0012209D" w:rsidRDefault="00FF4AA8" w:rsidP="00C31B06">
            <w:r>
              <w:t>To contribute and lead broader cross</w:t>
            </w:r>
            <w:r w:rsidR="002C51C3">
              <w:t>-University initiatives which support the achievement of wider University strate</w:t>
            </w:r>
            <w:r w:rsidR="004F67BC">
              <w:t xml:space="preserve">gy and </w:t>
            </w:r>
            <w:r w:rsidR="004122EC">
              <w:t>strategic</w:t>
            </w:r>
            <w:r w:rsidR="004F67BC">
              <w:t xml:space="preserve"> plans. </w:t>
            </w:r>
          </w:p>
        </w:tc>
        <w:tc>
          <w:tcPr>
            <w:tcW w:w="1027" w:type="dxa"/>
          </w:tcPr>
          <w:p w14:paraId="15BF08A3" w14:textId="5CB6A467" w:rsidR="0012209D" w:rsidRDefault="002D1A1E" w:rsidP="00321CAA">
            <w:r>
              <w:t>5</w:t>
            </w:r>
            <w:r w:rsidR="00343D93">
              <w:t>%</w:t>
            </w:r>
          </w:p>
        </w:tc>
      </w:tr>
      <w:tr w:rsidR="00EE350A" w14:paraId="2A4FEA22" w14:textId="77777777" w:rsidTr="00467596">
        <w:trPr>
          <w:cantSplit/>
        </w:trPr>
        <w:tc>
          <w:tcPr>
            <w:tcW w:w="606" w:type="dxa"/>
            <w:tcBorders>
              <w:right w:val="nil"/>
            </w:tcBorders>
          </w:tcPr>
          <w:p w14:paraId="1D15DCD0" w14:textId="77777777" w:rsidR="00EE350A" w:rsidRDefault="00EE350A" w:rsidP="0012209D">
            <w:pPr>
              <w:pStyle w:val="ListParagraph"/>
              <w:numPr>
                <w:ilvl w:val="0"/>
                <w:numId w:val="17"/>
              </w:numPr>
            </w:pPr>
          </w:p>
        </w:tc>
        <w:tc>
          <w:tcPr>
            <w:tcW w:w="8118" w:type="dxa"/>
            <w:tcBorders>
              <w:left w:val="nil"/>
            </w:tcBorders>
          </w:tcPr>
          <w:p w14:paraId="1D69C1B2" w14:textId="77777777" w:rsidR="00EE350A" w:rsidRDefault="006B0952" w:rsidP="00C31B06">
            <w:r>
              <w:t>Profile raising</w:t>
            </w:r>
          </w:p>
          <w:p w14:paraId="40067CDF" w14:textId="77777777" w:rsidR="00191ACA" w:rsidRDefault="006B0952" w:rsidP="006B0952">
            <w:pPr>
              <w:pStyle w:val="ListParagraph"/>
              <w:numPr>
                <w:ilvl w:val="0"/>
                <w:numId w:val="19"/>
              </w:numPr>
            </w:pPr>
            <w:r>
              <w:t xml:space="preserve">To promote </w:t>
            </w:r>
            <w:r w:rsidR="00191ACA">
              <w:t>student communications and engagement goals within the University</w:t>
            </w:r>
          </w:p>
          <w:p w14:paraId="7471BF1C" w14:textId="77777777" w:rsidR="001D6418" w:rsidRDefault="00191ACA" w:rsidP="006B0952">
            <w:pPr>
              <w:pStyle w:val="ListParagraph"/>
              <w:numPr>
                <w:ilvl w:val="0"/>
                <w:numId w:val="19"/>
              </w:numPr>
            </w:pPr>
            <w:r>
              <w:t xml:space="preserve">To take a leading role on </w:t>
            </w:r>
            <w:r w:rsidR="008236B4">
              <w:t>sector networks to share b</w:t>
            </w:r>
            <w:r w:rsidR="00964E1C">
              <w:t>est practice from the University a</w:t>
            </w:r>
            <w:r w:rsidR="001D6418">
              <w:t>cross the sector</w:t>
            </w:r>
          </w:p>
          <w:p w14:paraId="6AC4D5D3" w14:textId="0C4291B7" w:rsidR="006B0952" w:rsidRDefault="001D6418" w:rsidP="006B0952">
            <w:pPr>
              <w:pStyle w:val="ListParagraph"/>
              <w:numPr>
                <w:ilvl w:val="0"/>
                <w:numId w:val="19"/>
              </w:numPr>
            </w:pPr>
            <w:r>
              <w:t xml:space="preserve">To manage and articulate the departmental identity, ensuring consistency of messaging and mission, overseeing the widening participation and social mobility communications plan. </w:t>
            </w:r>
            <w:r w:rsidR="00191ACA">
              <w:t xml:space="preserve"> </w:t>
            </w:r>
          </w:p>
        </w:tc>
        <w:tc>
          <w:tcPr>
            <w:tcW w:w="1027" w:type="dxa"/>
          </w:tcPr>
          <w:p w14:paraId="1C4BFDAF" w14:textId="65CDE952" w:rsidR="00EE350A" w:rsidRDefault="002D1A1E" w:rsidP="00321CAA">
            <w:r>
              <w:t xml:space="preserve">5 </w:t>
            </w:r>
            <w:r w:rsidR="00EE350A">
              <w:t>%</w:t>
            </w:r>
          </w:p>
        </w:tc>
      </w:tr>
      <w:tr w:rsidR="00671F76" w14:paraId="02C51BD6" w14:textId="77777777" w:rsidTr="00467596">
        <w:trPr>
          <w:cantSplit/>
        </w:trPr>
        <w:tc>
          <w:tcPr>
            <w:tcW w:w="606" w:type="dxa"/>
            <w:tcBorders>
              <w:right w:val="nil"/>
            </w:tcBorders>
          </w:tcPr>
          <w:p w14:paraId="6979F6BB" w14:textId="77777777" w:rsidR="00671F76" w:rsidRDefault="00671F76" w:rsidP="00671F76">
            <w:pPr>
              <w:pStyle w:val="ListParagraph"/>
              <w:numPr>
                <w:ilvl w:val="0"/>
                <w:numId w:val="17"/>
              </w:numPr>
            </w:pPr>
          </w:p>
        </w:tc>
        <w:tc>
          <w:tcPr>
            <w:tcW w:w="8118" w:type="dxa"/>
            <w:tcBorders>
              <w:left w:val="nil"/>
            </w:tcBorders>
          </w:tcPr>
          <w:p w14:paraId="06FB577A" w14:textId="0623AE9D" w:rsidR="00671F76" w:rsidRPr="00447FD8" w:rsidRDefault="0072294F" w:rsidP="00671F76">
            <w:r>
              <w:t xml:space="preserve">Any </w:t>
            </w:r>
            <w:r w:rsidR="0053518E">
              <w:t xml:space="preserve">other duties as allocated by the line manager following consultation with the post holder, including deputising for the Director </w:t>
            </w:r>
            <w:r w:rsidR="000C4B47">
              <w:t xml:space="preserve"> of Student Experience and Engagement </w:t>
            </w:r>
            <w:r w:rsidR="0053518E">
              <w:t xml:space="preserve"> </w:t>
            </w:r>
          </w:p>
        </w:tc>
        <w:tc>
          <w:tcPr>
            <w:tcW w:w="1027" w:type="dxa"/>
          </w:tcPr>
          <w:p w14:paraId="73579A3D" w14:textId="227E0B3A" w:rsidR="00671F76" w:rsidRDefault="00742B40" w:rsidP="00671F76">
            <w:r>
              <w:t>5</w:t>
            </w:r>
            <w:r w:rsidR="00671F7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297A72F" w14:textId="77777777" w:rsidR="00C31B06" w:rsidRDefault="000C4B47" w:rsidP="00C31B06">
            <w:r>
              <w:t>Internal</w:t>
            </w:r>
          </w:p>
          <w:p w14:paraId="79B9628E" w14:textId="618A1ABB" w:rsidR="000C4B47" w:rsidRDefault="000C4B47" w:rsidP="00C31B06"/>
          <w:p w14:paraId="0A307059" w14:textId="62D0D0DA" w:rsidR="000C4B47" w:rsidRDefault="000C4B47" w:rsidP="00C31B06">
            <w:r>
              <w:t>Student Body</w:t>
            </w:r>
          </w:p>
          <w:p w14:paraId="7FE9321A" w14:textId="6F53FAC0" w:rsidR="000C4B47" w:rsidRDefault="000F7DEC" w:rsidP="00C31B06">
            <w:r>
              <w:t>Colleagues across the Student Experience Directorate</w:t>
            </w:r>
          </w:p>
          <w:p w14:paraId="03C79004" w14:textId="16124BFD" w:rsidR="000F7DEC" w:rsidRDefault="000F7DEC" w:rsidP="00C31B06">
            <w:r>
              <w:t>Engagement and Advancement Directorate</w:t>
            </w:r>
          </w:p>
          <w:p w14:paraId="56F9F410" w14:textId="512D977B" w:rsidR="000F7DEC" w:rsidRDefault="000F7DEC" w:rsidP="00C31B06">
            <w:r>
              <w:t>Faculty Operating Service</w:t>
            </w:r>
          </w:p>
          <w:p w14:paraId="5D19210C" w14:textId="352FFAF2" w:rsidR="002759F8" w:rsidRDefault="002759F8" w:rsidP="00C31B06">
            <w:r>
              <w:t xml:space="preserve">Estates and Facilities </w:t>
            </w:r>
          </w:p>
          <w:p w14:paraId="794A692C" w14:textId="1B2F8E61" w:rsidR="000F7DEC" w:rsidRDefault="000F7DEC" w:rsidP="00C31B06">
            <w:r>
              <w:t>Academic colleagues</w:t>
            </w:r>
          </w:p>
          <w:p w14:paraId="0A75D6D7" w14:textId="04BEEEDB" w:rsidR="000F7DEC" w:rsidRDefault="000F7DEC" w:rsidP="00C31B06">
            <w:r>
              <w:t>Senior leaders</w:t>
            </w:r>
          </w:p>
          <w:p w14:paraId="0EFB80D5" w14:textId="77777777" w:rsidR="000C4B47" w:rsidRDefault="000C4B47" w:rsidP="00C31B06"/>
          <w:p w14:paraId="7F6FC8DE" w14:textId="77777777" w:rsidR="000C4B47" w:rsidRDefault="000C4B47" w:rsidP="00C31B06">
            <w:r>
              <w:t>External</w:t>
            </w:r>
          </w:p>
          <w:p w14:paraId="2566859E" w14:textId="77777777" w:rsidR="000F7DEC" w:rsidRDefault="000F7DEC" w:rsidP="00C31B06"/>
          <w:p w14:paraId="518CE4C7" w14:textId="77777777" w:rsidR="000F7DEC" w:rsidRDefault="000F7DEC" w:rsidP="00C31B06">
            <w:r>
              <w:t>Students Union</w:t>
            </w:r>
          </w:p>
          <w:p w14:paraId="2ED0A962" w14:textId="77777777" w:rsidR="000F7DEC" w:rsidRDefault="000F7DEC" w:rsidP="00C31B06">
            <w:r>
              <w:t>Office for Student</w:t>
            </w:r>
            <w:r w:rsidR="002759F8">
              <w:t>s</w:t>
            </w:r>
          </w:p>
          <w:p w14:paraId="6DFB5B75" w14:textId="77777777" w:rsidR="002759F8" w:rsidRDefault="002759F8" w:rsidP="00C31B06">
            <w:r>
              <w:t>Higher Education Institution</w:t>
            </w:r>
          </w:p>
          <w:p w14:paraId="77F76E87" w14:textId="77777777" w:rsidR="002759F8" w:rsidRDefault="002759F8" w:rsidP="00C31B06">
            <w:r>
              <w:t>Sector networks</w:t>
            </w:r>
          </w:p>
          <w:p w14:paraId="215C8383" w14:textId="77777777" w:rsidR="002759F8" w:rsidRDefault="002759F8" w:rsidP="00C31B06">
            <w:r>
              <w:t>Local, national and international experts</w:t>
            </w:r>
          </w:p>
          <w:p w14:paraId="7D2DAC00" w14:textId="77777777" w:rsidR="002759F8" w:rsidRDefault="002759F8" w:rsidP="00C31B06">
            <w:r>
              <w:t xml:space="preserve">Members of the </w:t>
            </w:r>
            <w:r w:rsidR="006F1EE5">
              <w:t>public/community</w:t>
            </w:r>
          </w:p>
          <w:p w14:paraId="15BF08B0" w14:textId="583E3093" w:rsidR="006F1EE5" w:rsidRDefault="006F1EE5" w:rsidP="00C31B06">
            <w:r>
              <w:t>Relevant suppliers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3BAF99CF" w:rsidR="00343D93" w:rsidRDefault="0074500B" w:rsidP="00343D93">
            <w:r>
              <w:t xml:space="preserve">Support and contribution to the delivery of Student Experience frontline services, including attendance at events such as Open days, ceremonies and corporate events. </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3"/>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63F45A4" w14:textId="5AAC76BC" w:rsidR="004D4966" w:rsidRDefault="00EE350A" w:rsidP="00601F61">
            <w:pPr>
              <w:spacing w:after="90"/>
            </w:pPr>
            <w:r>
              <w:t>Skill level equivalent to achievement of a professional quali</w:t>
            </w:r>
            <w:r w:rsidR="00512863">
              <w:t xml:space="preserve">fication or postgraduate degree </w:t>
            </w:r>
          </w:p>
          <w:p w14:paraId="5D81CC0D" w14:textId="0B18D197" w:rsidR="00EE350A" w:rsidRDefault="00EE350A" w:rsidP="00601F61">
            <w:pPr>
              <w:spacing w:after="90"/>
            </w:pPr>
            <w:r>
              <w:t xml:space="preserve">Proven experience of </w:t>
            </w:r>
            <w:r w:rsidR="00D61359">
              <w:t xml:space="preserve">leading </w:t>
            </w:r>
            <w:r>
              <w:t>significant change.</w:t>
            </w:r>
          </w:p>
          <w:p w14:paraId="2379739F" w14:textId="77777777" w:rsidR="00EE350A" w:rsidRDefault="00EE350A" w:rsidP="00601F61">
            <w:pPr>
              <w:spacing w:after="90"/>
            </w:pPr>
            <w:r>
              <w:t xml:space="preserve">Proven strategic management </w:t>
            </w:r>
            <w:r w:rsidR="005D0265">
              <w:t>skills in a student communications or engagement environment</w:t>
            </w:r>
          </w:p>
          <w:p w14:paraId="7EC30C21" w14:textId="77777777" w:rsidR="005D0265" w:rsidRDefault="005D0265" w:rsidP="00601F61">
            <w:pPr>
              <w:spacing w:after="90"/>
            </w:pPr>
          </w:p>
          <w:p w14:paraId="2DC2C4F5" w14:textId="540BDA11" w:rsidR="005D0265" w:rsidRDefault="005D0265" w:rsidP="00601F61">
            <w:pPr>
              <w:spacing w:after="90"/>
            </w:pPr>
            <w:r>
              <w:t xml:space="preserve">Significant depth of experience in leading </w:t>
            </w:r>
            <w:r w:rsidR="00D61359">
              <w:t>and managing communications and</w:t>
            </w:r>
            <w:r w:rsidR="007B3551">
              <w:t xml:space="preserve"> events </w:t>
            </w:r>
            <w:r w:rsidR="00D61359">
              <w:t>teams in a higher or further education setting</w:t>
            </w:r>
          </w:p>
          <w:p w14:paraId="495CE49A" w14:textId="77777777" w:rsidR="00D61359" w:rsidRDefault="00D61359" w:rsidP="00601F61">
            <w:pPr>
              <w:spacing w:after="90"/>
            </w:pPr>
          </w:p>
          <w:p w14:paraId="756675A9" w14:textId="77777777" w:rsidR="00D61359" w:rsidRDefault="00D61359" w:rsidP="00601F61">
            <w:pPr>
              <w:spacing w:after="90"/>
            </w:pPr>
            <w:r>
              <w:t>Proven ability to persuasively influence policy development</w:t>
            </w:r>
          </w:p>
          <w:p w14:paraId="4212C756" w14:textId="77777777" w:rsidR="00D61359" w:rsidRDefault="00D61359" w:rsidP="00601F61">
            <w:pPr>
              <w:spacing w:after="90"/>
            </w:pPr>
          </w:p>
          <w:p w14:paraId="00DB73AE" w14:textId="77777777" w:rsidR="00D61359" w:rsidRDefault="00D61359" w:rsidP="00601F61">
            <w:pPr>
              <w:spacing w:after="90"/>
            </w:pPr>
            <w:r>
              <w:t>Able to demonstrate an authoritative awareness of student communications and engagement and use this to tackle broad University prioritie</w:t>
            </w:r>
            <w:r w:rsidR="00E03B34">
              <w:t>s</w:t>
            </w:r>
          </w:p>
          <w:p w14:paraId="34010B34" w14:textId="77777777" w:rsidR="00E03B34" w:rsidRDefault="00E03B34" w:rsidP="00601F61">
            <w:pPr>
              <w:spacing w:after="90"/>
            </w:pPr>
          </w:p>
          <w:p w14:paraId="63B1C186" w14:textId="77777777" w:rsidR="00E03B34" w:rsidRDefault="00E03B34" w:rsidP="00601F61">
            <w:pPr>
              <w:spacing w:after="90"/>
            </w:pPr>
            <w:r>
              <w:t xml:space="preserve">Significant financial management experience </w:t>
            </w:r>
          </w:p>
          <w:p w14:paraId="5DB499BE" w14:textId="77777777" w:rsidR="00E03B34" w:rsidRDefault="00E03B34" w:rsidP="00601F61">
            <w:pPr>
              <w:spacing w:after="90"/>
            </w:pPr>
          </w:p>
          <w:p w14:paraId="15BF08BC" w14:textId="384DBCA3" w:rsidR="00E03B34" w:rsidRDefault="00E03B34" w:rsidP="00601F61">
            <w:pPr>
              <w:spacing w:after="90"/>
            </w:pPr>
            <w:r>
              <w:t xml:space="preserve">Ability </w:t>
            </w:r>
            <w:r w:rsidR="00BE6078">
              <w:t xml:space="preserve">and confidence in working with and delivering emerging technologies </w:t>
            </w:r>
          </w:p>
        </w:tc>
        <w:tc>
          <w:tcPr>
            <w:tcW w:w="3402" w:type="dxa"/>
          </w:tcPr>
          <w:p w14:paraId="61365C30" w14:textId="77777777" w:rsidR="004D4966" w:rsidRDefault="005D0265" w:rsidP="00617FAD">
            <w:pPr>
              <w:spacing w:after="90"/>
            </w:pPr>
            <w:r>
              <w:t>Previous experience of working in Higher Education with an excellent understanding of the higher education landscape</w:t>
            </w:r>
          </w:p>
          <w:p w14:paraId="23257C28" w14:textId="77777777" w:rsidR="002D1A1E" w:rsidRDefault="002D1A1E" w:rsidP="00617FAD">
            <w:pPr>
              <w:spacing w:after="90"/>
            </w:pPr>
          </w:p>
          <w:p w14:paraId="15BF08BD" w14:textId="3B408BC5" w:rsidR="002D1A1E" w:rsidRDefault="002D1A1E" w:rsidP="00617FAD">
            <w:pPr>
              <w:spacing w:after="90"/>
            </w:pPr>
            <w:r>
              <w:t xml:space="preserve">Significant financial management </w:t>
            </w:r>
          </w:p>
        </w:tc>
        <w:tc>
          <w:tcPr>
            <w:tcW w:w="1330" w:type="dxa"/>
          </w:tcPr>
          <w:p w14:paraId="5326E3C4" w14:textId="77777777" w:rsidR="00013C10" w:rsidRDefault="002D1A1E" w:rsidP="00343D93">
            <w:pPr>
              <w:spacing w:after="90"/>
            </w:pPr>
            <w:r>
              <w:t>Application</w:t>
            </w:r>
          </w:p>
          <w:p w14:paraId="29F92B03" w14:textId="77777777" w:rsidR="002D1A1E" w:rsidRDefault="002D1A1E" w:rsidP="00343D93">
            <w:pPr>
              <w:spacing w:after="90"/>
            </w:pPr>
          </w:p>
          <w:p w14:paraId="6F124D59" w14:textId="02B0C46D" w:rsidR="002D1A1E" w:rsidRDefault="002D1A1E" w:rsidP="00343D93">
            <w:pPr>
              <w:spacing w:after="90"/>
            </w:pPr>
            <w:r>
              <w:t>Application</w:t>
            </w:r>
          </w:p>
          <w:p w14:paraId="308C091B" w14:textId="77777777" w:rsidR="002D1A1E" w:rsidRDefault="002D1A1E" w:rsidP="00343D93">
            <w:pPr>
              <w:spacing w:after="90"/>
            </w:pPr>
          </w:p>
          <w:p w14:paraId="38F1B923" w14:textId="15580FD1" w:rsidR="002D1A1E" w:rsidRDefault="002D1A1E" w:rsidP="00343D93">
            <w:pPr>
              <w:spacing w:after="90"/>
            </w:pPr>
            <w:r>
              <w:t>Application and Interview</w:t>
            </w:r>
          </w:p>
          <w:p w14:paraId="5EA7B893" w14:textId="77777777" w:rsidR="002D1A1E" w:rsidRDefault="002D1A1E" w:rsidP="00343D93">
            <w:pPr>
              <w:spacing w:after="90"/>
            </w:pPr>
          </w:p>
          <w:p w14:paraId="7B7C16F3" w14:textId="77777777" w:rsidR="002D1A1E" w:rsidRDefault="002D1A1E" w:rsidP="00343D93">
            <w:pPr>
              <w:spacing w:after="90"/>
            </w:pPr>
          </w:p>
          <w:p w14:paraId="1ABD5A6C" w14:textId="5C625F94" w:rsidR="002D1A1E" w:rsidRDefault="002D1A1E" w:rsidP="00343D93">
            <w:pPr>
              <w:spacing w:after="90"/>
            </w:pPr>
            <w:r>
              <w:t>Application and Interview</w:t>
            </w:r>
          </w:p>
          <w:p w14:paraId="1DA7321B" w14:textId="77777777" w:rsidR="002D1A1E" w:rsidRDefault="002D1A1E" w:rsidP="00343D93">
            <w:pPr>
              <w:spacing w:after="90"/>
            </w:pPr>
          </w:p>
          <w:p w14:paraId="106BFA88" w14:textId="77777777" w:rsidR="002D1A1E" w:rsidRDefault="002D1A1E" w:rsidP="00343D93">
            <w:pPr>
              <w:spacing w:after="90"/>
            </w:pPr>
          </w:p>
          <w:p w14:paraId="512BAC76" w14:textId="78157765" w:rsidR="002D1A1E" w:rsidRDefault="002D1A1E" w:rsidP="00343D93">
            <w:pPr>
              <w:spacing w:after="90"/>
            </w:pPr>
            <w:r>
              <w:t>Interview</w:t>
            </w:r>
          </w:p>
          <w:p w14:paraId="0938736F" w14:textId="77777777" w:rsidR="002D1A1E" w:rsidRDefault="002D1A1E" w:rsidP="00343D93">
            <w:pPr>
              <w:spacing w:after="90"/>
            </w:pPr>
          </w:p>
          <w:p w14:paraId="5CB1940A" w14:textId="77777777" w:rsidR="002D1A1E" w:rsidRDefault="002D1A1E" w:rsidP="00343D93">
            <w:pPr>
              <w:spacing w:after="90"/>
            </w:pPr>
          </w:p>
          <w:p w14:paraId="5FEFD55E" w14:textId="2D4C5AA4" w:rsidR="002D1A1E" w:rsidRDefault="002D1A1E" w:rsidP="00343D93">
            <w:pPr>
              <w:spacing w:after="90"/>
            </w:pPr>
            <w:r>
              <w:t>Application</w:t>
            </w:r>
          </w:p>
          <w:p w14:paraId="58B37ACA" w14:textId="77777777" w:rsidR="002D1A1E" w:rsidRDefault="002D1A1E" w:rsidP="00343D93">
            <w:pPr>
              <w:spacing w:after="90"/>
            </w:pPr>
          </w:p>
          <w:p w14:paraId="0487135B" w14:textId="77777777" w:rsidR="002D1A1E" w:rsidRDefault="002D1A1E" w:rsidP="00343D93">
            <w:pPr>
              <w:spacing w:after="90"/>
            </w:pPr>
          </w:p>
          <w:p w14:paraId="554CAA11" w14:textId="77777777" w:rsidR="002D1A1E" w:rsidRDefault="002D1A1E" w:rsidP="00343D93">
            <w:pPr>
              <w:spacing w:after="90"/>
            </w:pPr>
          </w:p>
          <w:p w14:paraId="638B5A97" w14:textId="77777777" w:rsidR="002D1A1E" w:rsidRDefault="002D1A1E" w:rsidP="00343D93">
            <w:pPr>
              <w:spacing w:after="90"/>
            </w:pPr>
          </w:p>
          <w:p w14:paraId="267A74C5" w14:textId="77777777" w:rsidR="002D1A1E" w:rsidRDefault="002D1A1E" w:rsidP="00343D93">
            <w:pPr>
              <w:spacing w:after="90"/>
            </w:pPr>
          </w:p>
          <w:p w14:paraId="00FFFB57" w14:textId="77777777" w:rsidR="002D1A1E" w:rsidRDefault="002D1A1E" w:rsidP="00343D93">
            <w:pPr>
              <w:spacing w:after="90"/>
            </w:pPr>
          </w:p>
          <w:p w14:paraId="1523AE7D" w14:textId="77777777" w:rsidR="002D1A1E" w:rsidRDefault="002D1A1E" w:rsidP="00343D93">
            <w:pPr>
              <w:spacing w:after="90"/>
            </w:pPr>
          </w:p>
          <w:p w14:paraId="15BF08BE" w14:textId="49DCCC96" w:rsidR="002D1A1E" w:rsidRDefault="002D1A1E" w:rsidP="00343D93">
            <w:pPr>
              <w:spacing w:after="90"/>
            </w:pPr>
            <w:r>
              <w:t xml:space="preserve">Interview </w:t>
            </w:r>
          </w:p>
        </w:tc>
      </w:tr>
      <w:tr w:rsidR="00013C10" w14:paraId="15BF08C4" w14:textId="77777777" w:rsidTr="00013C10">
        <w:tc>
          <w:tcPr>
            <w:tcW w:w="1617" w:type="dxa"/>
          </w:tcPr>
          <w:p w14:paraId="15BF08C0" w14:textId="577DFD9E" w:rsidR="00013C10" w:rsidRPr="00FD5B0E" w:rsidRDefault="00013C10" w:rsidP="00746AEB">
            <w:r w:rsidRPr="00FD5B0E">
              <w:t xml:space="preserve">Planning </w:t>
            </w:r>
            <w:r w:rsidR="00746AEB">
              <w:t>and</w:t>
            </w:r>
            <w:r w:rsidRPr="00FD5B0E">
              <w:t xml:space="preserve"> organising</w:t>
            </w:r>
          </w:p>
        </w:tc>
        <w:tc>
          <w:tcPr>
            <w:tcW w:w="3402" w:type="dxa"/>
          </w:tcPr>
          <w:p w14:paraId="555F98B3" w14:textId="77777777" w:rsidR="00F33234" w:rsidRDefault="00BE6078" w:rsidP="00702D64">
            <w:pPr>
              <w:spacing w:after="90"/>
            </w:pPr>
            <w:r>
              <w:t xml:space="preserve">Able to think strategically about sector and institutional </w:t>
            </w:r>
            <w:r w:rsidR="00F33234">
              <w:t>priorities and how projects and programmes can support each other</w:t>
            </w:r>
          </w:p>
          <w:p w14:paraId="62B5E42B" w14:textId="77777777" w:rsidR="00F33234" w:rsidRDefault="00F33234" w:rsidP="00702D64">
            <w:pPr>
              <w:spacing w:after="90"/>
            </w:pPr>
          </w:p>
          <w:p w14:paraId="3DD783BE" w14:textId="77777777" w:rsidR="00C83F50" w:rsidRDefault="00F33234" w:rsidP="00702D64">
            <w:pPr>
              <w:spacing w:after="90"/>
            </w:pPr>
            <w:r>
              <w:t xml:space="preserve">Demonstrable ability to persuasively advise on strategic development through formal written and verbal communication </w:t>
            </w:r>
            <w:r w:rsidR="00C83F50">
              <w:t>.</w:t>
            </w:r>
          </w:p>
          <w:p w14:paraId="7EDCDC66" w14:textId="77777777" w:rsidR="00F33234" w:rsidRDefault="00F33234" w:rsidP="00702D64">
            <w:pPr>
              <w:spacing w:after="90"/>
            </w:pPr>
          </w:p>
          <w:p w14:paraId="160B0E49" w14:textId="77777777" w:rsidR="00F33234" w:rsidRDefault="00F33234" w:rsidP="00702D64">
            <w:pPr>
              <w:spacing w:after="90"/>
            </w:pPr>
            <w:r>
              <w:t>Able to plan and shape the direction of a specialist or professional area of activity</w:t>
            </w:r>
          </w:p>
          <w:p w14:paraId="61A2BEEA" w14:textId="77777777" w:rsidR="00F33234" w:rsidRDefault="00F33234" w:rsidP="00702D64">
            <w:pPr>
              <w:spacing w:after="90"/>
            </w:pPr>
          </w:p>
          <w:p w14:paraId="22EAB73D" w14:textId="77777777" w:rsidR="00F33234" w:rsidRDefault="00F33234" w:rsidP="00702D64">
            <w:pPr>
              <w:spacing w:after="90"/>
            </w:pPr>
            <w:r>
              <w:t>Able to set and deliver appropriate and measurable long, medium and short term goals in the form o</w:t>
            </w:r>
            <w:r w:rsidR="0051791B">
              <w:t>f a b</w:t>
            </w:r>
            <w:r w:rsidR="00054F69">
              <w:t xml:space="preserve">usiness </w:t>
            </w:r>
            <w:r w:rsidR="00E36187">
              <w:t>plan</w:t>
            </w:r>
          </w:p>
          <w:p w14:paraId="6DAABA24" w14:textId="77777777" w:rsidR="00E36187" w:rsidRDefault="00E36187" w:rsidP="00702D64">
            <w:pPr>
              <w:spacing w:after="90"/>
            </w:pPr>
          </w:p>
          <w:p w14:paraId="2B2FB5EF" w14:textId="77777777" w:rsidR="00E36187" w:rsidRDefault="00E36187" w:rsidP="00702D64">
            <w:pPr>
              <w:spacing w:after="90"/>
            </w:pPr>
            <w:r>
              <w:t>Able to lead projects and new initiatives with little or no precedent</w:t>
            </w:r>
          </w:p>
          <w:p w14:paraId="5C46A28E" w14:textId="77777777" w:rsidR="00E36187" w:rsidRDefault="00E36187" w:rsidP="00702D64">
            <w:pPr>
              <w:spacing w:after="90"/>
            </w:pPr>
          </w:p>
          <w:p w14:paraId="7DBF0535" w14:textId="77777777" w:rsidR="00E36187" w:rsidRDefault="00E36187" w:rsidP="00702D64">
            <w:pPr>
              <w:spacing w:after="90"/>
            </w:pPr>
            <w:r>
              <w:lastRenderedPageBreak/>
              <w:t>Able to re-prioritise workload in a fast moving environment</w:t>
            </w:r>
          </w:p>
          <w:p w14:paraId="0A28F475" w14:textId="77777777" w:rsidR="00E36187" w:rsidRDefault="00E36187" w:rsidP="00702D64">
            <w:pPr>
              <w:spacing w:after="90"/>
            </w:pPr>
          </w:p>
          <w:p w14:paraId="31A797BA" w14:textId="77777777" w:rsidR="00E36187" w:rsidRDefault="00E36187" w:rsidP="00702D64">
            <w:pPr>
              <w:spacing w:after="90"/>
            </w:pPr>
            <w:r>
              <w:t>Ab</w:t>
            </w:r>
            <w:r w:rsidR="00913711">
              <w:t xml:space="preserve">le to oversee multiple and complex areas of service delivery ensuring deadlines and standards are maintained </w:t>
            </w:r>
          </w:p>
          <w:p w14:paraId="64D00D6B" w14:textId="77777777" w:rsidR="00913711" w:rsidRDefault="00913711" w:rsidP="00702D64">
            <w:pPr>
              <w:spacing w:after="90"/>
            </w:pPr>
          </w:p>
          <w:p w14:paraId="15BF08C1" w14:textId="5EE09174" w:rsidR="00913711" w:rsidRDefault="00913711" w:rsidP="00702D64">
            <w:pPr>
              <w:spacing w:after="90"/>
            </w:pPr>
            <w:r>
              <w:t>Ability to work effectively with colle</w:t>
            </w:r>
            <w:r w:rsidR="00F22914">
              <w:t>agues outside direct areas of responsibility</w:t>
            </w:r>
          </w:p>
        </w:tc>
        <w:tc>
          <w:tcPr>
            <w:tcW w:w="3402" w:type="dxa"/>
          </w:tcPr>
          <w:p w14:paraId="15BF08C2" w14:textId="6FC4BC5F" w:rsidR="00013C10" w:rsidRDefault="00013C10" w:rsidP="00343D93">
            <w:pPr>
              <w:spacing w:after="90"/>
            </w:pPr>
          </w:p>
        </w:tc>
        <w:tc>
          <w:tcPr>
            <w:tcW w:w="1330" w:type="dxa"/>
          </w:tcPr>
          <w:p w14:paraId="01B69AC6" w14:textId="77777777" w:rsidR="00013C10" w:rsidRDefault="002D1A1E" w:rsidP="00343D93">
            <w:pPr>
              <w:spacing w:after="90"/>
            </w:pPr>
            <w:r>
              <w:t>Interview</w:t>
            </w:r>
          </w:p>
          <w:p w14:paraId="5A899059" w14:textId="77777777" w:rsidR="002D1A1E" w:rsidRDefault="002D1A1E" w:rsidP="00343D93">
            <w:pPr>
              <w:spacing w:after="90"/>
            </w:pPr>
          </w:p>
          <w:p w14:paraId="0087647C" w14:textId="77777777" w:rsidR="002D1A1E" w:rsidRDefault="002D1A1E" w:rsidP="00343D93">
            <w:pPr>
              <w:spacing w:after="90"/>
            </w:pPr>
          </w:p>
          <w:p w14:paraId="7E98A068" w14:textId="77777777" w:rsidR="002D1A1E" w:rsidRDefault="002D1A1E" w:rsidP="00343D93">
            <w:pPr>
              <w:spacing w:after="90"/>
            </w:pPr>
          </w:p>
          <w:p w14:paraId="4EF6F66E" w14:textId="77777777" w:rsidR="002D1A1E" w:rsidRDefault="002D1A1E" w:rsidP="00343D93">
            <w:pPr>
              <w:spacing w:after="90"/>
            </w:pPr>
            <w:r>
              <w:t>Application and Interview</w:t>
            </w:r>
          </w:p>
          <w:p w14:paraId="59AC957A" w14:textId="77777777" w:rsidR="002D1A1E" w:rsidRDefault="002D1A1E" w:rsidP="00343D93">
            <w:pPr>
              <w:spacing w:after="90"/>
            </w:pPr>
          </w:p>
          <w:p w14:paraId="07B7CBB4" w14:textId="77777777" w:rsidR="002D1A1E" w:rsidRDefault="002D1A1E" w:rsidP="00343D93">
            <w:pPr>
              <w:spacing w:after="90"/>
            </w:pPr>
          </w:p>
          <w:p w14:paraId="6F09A51B" w14:textId="77777777" w:rsidR="002D1A1E" w:rsidRDefault="002D1A1E" w:rsidP="00343D93">
            <w:pPr>
              <w:spacing w:after="90"/>
            </w:pPr>
            <w:r>
              <w:t>Application and Interview</w:t>
            </w:r>
          </w:p>
          <w:p w14:paraId="18E91562" w14:textId="77777777" w:rsidR="002D1A1E" w:rsidRDefault="002D1A1E" w:rsidP="00343D93">
            <w:pPr>
              <w:spacing w:after="90"/>
            </w:pPr>
          </w:p>
          <w:p w14:paraId="08D5CD6D" w14:textId="77777777" w:rsidR="002D1A1E" w:rsidRDefault="002D1A1E" w:rsidP="00343D93">
            <w:pPr>
              <w:spacing w:after="90"/>
            </w:pPr>
          </w:p>
          <w:p w14:paraId="71B8AEFB" w14:textId="77777777" w:rsidR="002D1A1E" w:rsidRDefault="002D1A1E" w:rsidP="00343D93">
            <w:pPr>
              <w:spacing w:after="90"/>
            </w:pPr>
            <w:r>
              <w:t>Interview</w:t>
            </w:r>
          </w:p>
          <w:p w14:paraId="76F74A98" w14:textId="77777777" w:rsidR="002D1A1E" w:rsidRDefault="002D1A1E" w:rsidP="00343D93">
            <w:pPr>
              <w:spacing w:after="90"/>
            </w:pPr>
          </w:p>
          <w:p w14:paraId="4ACED125" w14:textId="77777777" w:rsidR="002D1A1E" w:rsidRDefault="002D1A1E" w:rsidP="00343D93">
            <w:pPr>
              <w:spacing w:after="90"/>
            </w:pPr>
          </w:p>
          <w:p w14:paraId="0A37BBB9" w14:textId="77777777" w:rsidR="002D1A1E" w:rsidRDefault="002D1A1E" w:rsidP="00343D93">
            <w:pPr>
              <w:spacing w:after="90"/>
            </w:pPr>
          </w:p>
          <w:p w14:paraId="29C23429" w14:textId="77777777" w:rsidR="002D1A1E" w:rsidRDefault="002D1A1E" w:rsidP="00343D93">
            <w:pPr>
              <w:spacing w:after="90"/>
            </w:pPr>
          </w:p>
          <w:p w14:paraId="189254B7" w14:textId="77777777" w:rsidR="002D1A1E" w:rsidRDefault="002D1A1E" w:rsidP="00343D93">
            <w:pPr>
              <w:spacing w:after="90"/>
            </w:pPr>
            <w:r>
              <w:t>Interview</w:t>
            </w:r>
          </w:p>
          <w:p w14:paraId="5DBF1710" w14:textId="77777777" w:rsidR="002D1A1E" w:rsidRDefault="002D1A1E" w:rsidP="00343D93">
            <w:pPr>
              <w:spacing w:after="90"/>
            </w:pPr>
          </w:p>
          <w:p w14:paraId="3CA771DA" w14:textId="77777777" w:rsidR="002D1A1E" w:rsidRDefault="002D1A1E" w:rsidP="00343D93">
            <w:pPr>
              <w:spacing w:after="90"/>
            </w:pPr>
            <w:r>
              <w:lastRenderedPageBreak/>
              <w:t>Interview</w:t>
            </w:r>
          </w:p>
          <w:p w14:paraId="66478537" w14:textId="77777777" w:rsidR="002D1A1E" w:rsidRDefault="002D1A1E" w:rsidP="00343D93">
            <w:pPr>
              <w:spacing w:after="90"/>
            </w:pPr>
          </w:p>
          <w:p w14:paraId="5FB434BE" w14:textId="77777777" w:rsidR="002D1A1E" w:rsidRDefault="002D1A1E" w:rsidP="00343D93">
            <w:pPr>
              <w:spacing w:after="90"/>
            </w:pPr>
          </w:p>
          <w:p w14:paraId="58F4CB02" w14:textId="77777777" w:rsidR="002D1A1E" w:rsidRDefault="002D1A1E" w:rsidP="00343D93">
            <w:pPr>
              <w:spacing w:after="90"/>
            </w:pPr>
            <w:r>
              <w:t>Interview</w:t>
            </w:r>
          </w:p>
          <w:p w14:paraId="71126BC8" w14:textId="77777777" w:rsidR="002D1A1E" w:rsidRDefault="002D1A1E" w:rsidP="00343D93">
            <w:pPr>
              <w:spacing w:after="90"/>
            </w:pPr>
          </w:p>
          <w:p w14:paraId="3F483E62" w14:textId="77777777" w:rsidR="002D1A1E" w:rsidRDefault="002D1A1E" w:rsidP="00343D93">
            <w:pPr>
              <w:spacing w:after="90"/>
            </w:pPr>
          </w:p>
          <w:p w14:paraId="6222883E" w14:textId="77777777" w:rsidR="002D1A1E" w:rsidRDefault="002D1A1E" w:rsidP="00343D93">
            <w:pPr>
              <w:spacing w:after="90"/>
            </w:pPr>
          </w:p>
          <w:p w14:paraId="15BF08C3" w14:textId="7710F019" w:rsidR="002D1A1E" w:rsidRDefault="002D1A1E" w:rsidP="00343D93">
            <w:pPr>
              <w:spacing w:after="90"/>
            </w:pPr>
            <w:r>
              <w:t>Interview</w:t>
            </w:r>
          </w:p>
        </w:tc>
      </w:tr>
      <w:tr w:rsidR="00013C10" w14:paraId="15BF08C9" w14:textId="77777777" w:rsidTr="00013C10">
        <w:tc>
          <w:tcPr>
            <w:tcW w:w="1617" w:type="dxa"/>
          </w:tcPr>
          <w:p w14:paraId="15BF08C5" w14:textId="21DBF709" w:rsidR="00013C10" w:rsidRPr="00FD5B0E" w:rsidRDefault="00013C10" w:rsidP="00321CAA">
            <w:r w:rsidRPr="00FD5B0E">
              <w:lastRenderedPageBreak/>
              <w:t xml:space="preserve">Problem solving </w:t>
            </w:r>
            <w:r w:rsidR="00746AEB">
              <w:t>and</w:t>
            </w:r>
            <w:r w:rsidRPr="00FD5B0E">
              <w:t xml:space="preserve"> initiative</w:t>
            </w:r>
          </w:p>
        </w:tc>
        <w:tc>
          <w:tcPr>
            <w:tcW w:w="3402" w:type="dxa"/>
          </w:tcPr>
          <w:p w14:paraId="6EF0B92A" w14:textId="77777777" w:rsidR="004D4966" w:rsidRDefault="00C83F50" w:rsidP="00D73BB9">
            <w:pPr>
              <w:spacing w:after="90"/>
            </w:pPr>
            <w:r>
              <w:t>Able to develop significant new concepts and original ideas within one’s field in response to intractable issues of importance to the University.</w:t>
            </w:r>
          </w:p>
          <w:p w14:paraId="274C5276" w14:textId="77777777" w:rsidR="00AA27FA" w:rsidRDefault="00AA27FA" w:rsidP="00D73BB9">
            <w:pPr>
              <w:spacing w:after="90"/>
            </w:pPr>
          </w:p>
          <w:p w14:paraId="7F69161D" w14:textId="7D8263D9" w:rsidR="00AA27FA" w:rsidRDefault="00AA27FA" w:rsidP="00D73BB9">
            <w:pPr>
              <w:spacing w:after="90"/>
            </w:pPr>
            <w:r>
              <w:t>Self sufficient</w:t>
            </w:r>
            <w:r w:rsidR="001349EC">
              <w:t>, capable</w:t>
            </w:r>
            <w:r w:rsidR="006436A1">
              <w:t xml:space="preserve"> of target setting and monitoring, actively seeking information from internal or external sources as required</w:t>
            </w:r>
          </w:p>
          <w:p w14:paraId="0E3D6BDA" w14:textId="655F52F3" w:rsidR="006436A1" w:rsidRDefault="006436A1" w:rsidP="00D73BB9">
            <w:pPr>
              <w:spacing w:after="90"/>
            </w:pPr>
          </w:p>
          <w:p w14:paraId="14FE1C6E" w14:textId="72714573" w:rsidR="006436A1" w:rsidRDefault="006436A1" w:rsidP="00D73BB9">
            <w:pPr>
              <w:spacing w:after="90"/>
            </w:pPr>
            <w:r>
              <w:t>Able to develop understanding of long-standing and complex problems and to apply professional knowledge and experience to solve them</w:t>
            </w:r>
          </w:p>
          <w:p w14:paraId="7E8246E8" w14:textId="66E7357B" w:rsidR="006436A1" w:rsidRDefault="006436A1" w:rsidP="00D73BB9">
            <w:pPr>
              <w:spacing w:after="90"/>
            </w:pPr>
          </w:p>
          <w:p w14:paraId="4EFB8B9F" w14:textId="22C2A72D" w:rsidR="006436A1" w:rsidRDefault="006436A1" w:rsidP="00D73BB9">
            <w:pPr>
              <w:spacing w:after="90"/>
            </w:pPr>
            <w:r>
              <w:t>Able to develop significant new concepts and original ideals within the student experience in response to intractable issues of importance to the University</w:t>
            </w:r>
          </w:p>
          <w:p w14:paraId="15BF08C6" w14:textId="2E3D4411" w:rsidR="006436A1" w:rsidRDefault="006436A1" w:rsidP="00D73BB9">
            <w:pPr>
              <w:spacing w:after="90"/>
            </w:pPr>
          </w:p>
        </w:tc>
        <w:tc>
          <w:tcPr>
            <w:tcW w:w="3402" w:type="dxa"/>
          </w:tcPr>
          <w:p w14:paraId="15BF08C7" w14:textId="278C60DA" w:rsidR="00013C10" w:rsidRDefault="00110D93" w:rsidP="00343D93">
            <w:pPr>
              <w:spacing w:after="90"/>
            </w:pPr>
            <w:r>
              <w:t>Ability to transform services within contextual constraints</w:t>
            </w:r>
          </w:p>
        </w:tc>
        <w:tc>
          <w:tcPr>
            <w:tcW w:w="1330" w:type="dxa"/>
          </w:tcPr>
          <w:p w14:paraId="5179D4FA" w14:textId="77777777" w:rsidR="00013C10" w:rsidRDefault="002D1A1E" w:rsidP="00343D93">
            <w:pPr>
              <w:spacing w:after="90"/>
            </w:pPr>
            <w:r>
              <w:t>Interview</w:t>
            </w:r>
          </w:p>
          <w:p w14:paraId="59902EB1" w14:textId="77777777" w:rsidR="002D1A1E" w:rsidRDefault="002D1A1E" w:rsidP="00343D93">
            <w:pPr>
              <w:spacing w:after="90"/>
            </w:pPr>
          </w:p>
          <w:p w14:paraId="3C80B488" w14:textId="77777777" w:rsidR="002D1A1E" w:rsidRDefault="002D1A1E" w:rsidP="00343D93">
            <w:pPr>
              <w:spacing w:after="90"/>
            </w:pPr>
          </w:p>
          <w:p w14:paraId="1086A4DB" w14:textId="77777777" w:rsidR="002D1A1E" w:rsidRDefault="002D1A1E" w:rsidP="00343D93">
            <w:pPr>
              <w:spacing w:after="90"/>
            </w:pPr>
          </w:p>
          <w:p w14:paraId="58D1CB7E" w14:textId="77777777" w:rsidR="002D1A1E" w:rsidRDefault="002D1A1E" w:rsidP="00343D93">
            <w:pPr>
              <w:spacing w:after="90"/>
            </w:pPr>
          </w:p>
          <w:p w14:paraId="2D2C0A35" w14:textId="77777777" w:rsidR="002D1A1E" w:rsidRDefault="002D1A1E" w:rsidP="00343D93">
            <w:pPr>
              <w:spacing w:after="90"/>
            </w:pPr>
            <w:r>
              <w:t>Interview</w:t>
            </w:r>
          </w:p>
          <w:p w14:paraId="1CF2BD4D" w14:textId="77777777" w:rsidR="002D1A1E" w:rsidRDefault="002D1A1E" w:rsidP="00343D93">
            <w:pPr>
              <w:spacing w:after="90"/>
            </w:pPr>
          </w:p>
          <w:p w14:paraId="5344DF30" w14:textId="77777777" w:rsidR="002D1A1E" w:rsidRDefault="002D1A1E" w:rsidP="00343D93">
            <w:pPr>
              <w:spacing w:after="90"/>
            </w:pPr>
          </w:p>
          <w:p w14:paraId="5CB387DB" w14:textId="77777777" w:rsidR="002D1A1E" w:rsidRDefault="002D1A1E" w:rsidP="00343D93">
            <w:pPr>
              <w:spacing w:after="90"/>
            </w:pPr>
          </w:p>
          <w:p w14:paraId="46751074" w14:textId="77777777" w:rsidR="002D1A1E" w:rsidRDefault="002D1A1E" w:rsidP="00343D93">
            <w:pPr>
              <w:spacing w:after="90"/>
            </w:pPr>
            <w:r>
              <w:t>Interview</w:t>
            </w:r>
          </w:p>
          <w:p w14:paraId="060B31F5" w14:textId="77777777" w:rsidR="002D1A1E" w:rsidRDefault="002D1A1E" w:rsidP="00343D93">
            <w:pPr>
              <w:spacing w:after="90"/>
            </w:pPr>
          </w:p>
          <w:p w14:paraId="4FAB9CC2" w14:textId="77777777" w:rsidR="002D1A1E" w:rsidRDefault="002D1A1E" w:rsidP="00343D93">
            <w:pPr>
              <w:spacing w:after="90"/>
            </w:pPr>
          </w:p>
          <w:p w14:paraId="0E629F53" w14:textId="77777777" w:rsidR="002D1A1E" w:rsidRDefault="002D1A1E" w:rsidP="00343D93">
            <w:pPr>
              <w:spacing w:after="90"/>
            </w:pPr>
          </w:p>
          <w:p w14:paraId="15BF08C8" w14:textId="38A4A298" w:rsidR="002D1A1E" w:rsidRDefault="002D1A1E" w:rsidP="00343D93">
            <w:pPr>
              <w:spacing w:after="90"/>
            </w:pPr>
            <w:r>
              <w:t>Interview</w:t>
            </w:r>
          </w:p>
        </w:tc>
      </w:tr>
      <w:tr w:rsidR="00013C10" w14:paraId="15BF08CE" w14:textId="77777777" w:rsidTr="00013C10">
        <w:tc>
          <w:tcPr>
            <w:tcW w:w="1617" w:type="dxa"/>
          </w:tcPr>
          <w:p w14:paraId="15BF08CA" w14:textId="221E4483" w:rsidR="00013C10" w:rsidRPr="00FD5B0E" w:rsidRDefault="00013C10" w:rsidP="00321CAA">
            <w:r w:rsidRPr="00FD5B0E">
              <w:t xml:space="preserve">Management </w:t>
            </w:r>
            <w:r w:rsidR="00746AEB">
              <w:t>and</w:t>
            </w:r>
            <w:r w:rsidRPr="00FD5B0E">
              <w:t xml:space="preserve"> teamwork</w:t>
            </w:r>
          </w:p>
        </w:tc>
        <w:tc>
          <w:tcPr>
            <w:tcW w:w="3402" w:type="dxa"/>
          </w:tcPr>
          <w:p w14:paraId="49805788" w14:textId="77777777" w:rsidR="004D4966" w:rsidRDefault="00C83F50" w:rsidP="00057DE4">
            <w:pPr>
              <w:spacing w:after="90"/>
            </w:pPr>
            <w:r>
              <w:t>Able to proactively develop team dynamics and performance, ensuring quality standards are consistently achieved.</w:t>
            </w:r>
          </w:p>
          <w:p w14:paraId="453A516D" w14:textId="77777777" w:rsidR="00C83F50" w:rsidRDefault="00C83F50" w:rsidP="00057DE4">
            <w:pPr>
              <w:spacing w:after="90"/>
            </w:pPr>
            <w:r>
              <w:t>Able to foster positive relationships both within and outside of own department.</w:t>
            </w:r>
          </w:p>
          <w:p w14:paraId="7121EE48" w14:textId="77777777" w:rsidR="00C83F50" w:rsidRDefault="00C83F50" w:rsidP="00057DE4">
            <w:pPr>
              <w:spacing w:after="90"/>
            </w:pPr>
            <w:r>
              <w:t>Able to proactively work with senior managers across the University to achieve key deliverables.</w:t>
            </w:r>
          </w:p>
          <w:p w14:paraId="6B9F2BFB" w14:textId="77777777" w:rsidR="006436A1" w:rsidRDefault="006436A1" w:rsidP="00057DE4">
            <w:pPr>
              <w:spacing w:after="90"/>
            </w:pPr>
          </w:p>
          <w:p w14:paraId="1A14AA39" w14:textId="77777777" w:rsidR="006436A1" w:rsidRDefault="006436A1" w:rsidP="00057DE4">
            <w:pPr>
              <w:spacing w:after="90"/>
            </w:pPr>
            <w:r>
              <w:t xml:space="preserve">Able to </w:t>
            </w:r>
            <w:r w:rsidR="00234636">
              <w:t xml:space="preserve">manage budget and resources effectively </w:t>
            </w:r>
          </w:p>
          <w:p w14:paraId="4D30ADB3" w14:textId="77777777" w:rsidR="00234636" w:rsidRDefault="00234636" w:rsidP="00057DE4">
            <w:pPr>
              <w:spacing w:after="90"/>
            </w:pPr>
          </w:p>
          <w:p w14:paraId="15BF08CB" w14:textId="36A49356" w:rsidR="00234636" w:rsidRDefault="00234636" w:rsidP="00057DE4">
            <w:pPr>
              <w:spacing w:after="90"/>
            </w:pPr>
            <w:r>
              <w:t>Able to deliver all areas of staff management including pr</w:t>
            </w:r>
            <w:r w:rsidR="00E24B01">
              <w:t xml:space="preserve">ofessional development, performance management and change management </w:t>
            </w:r>
          </w:p>
        </w:tc>
        <w:tc>
          <w:tcPr>
            <w:tcW w:w="3402" w:type="dxa"/>
          </w:tcPr>
          <w:p w14:paraId="15BF08CC" w14:textId="7946ADF4" w:rsidR="00013C10" w:rsidRDefault="00013C10" w:rsidP="00057DE4">
            <w:pPr>
              <w:spacing w:after="90"/>
            </w:pPr>
          </w:p>
        </w:tc>
        <w:tc>
          <w:tcPr>
            <w:tcW w:w="1330" w:type="dxa"/>
          </w:tcPr>
          <w:p w14:paraId="11409B6F" w14:textId="77777777" w:rsidR="00013C10" w:rsidRDefault="002D1A1E" w:rsidP="00343D93">
            <w:pPr>
              <w:spacing w:after="90"/>
            </w:pPr>
            <w:r>
              <w:t>Application and Interview</w:t>
            </w:r>
          </w:p>
          <w:p w14:paraId="497E9B10" w14:textId="77777777" w:rsidR="002D1A1E" w:rsidRDefault="002D1A1E" w:rsidP="00343D93">
            <w:pPr>
              <w:spacing w:after="90"/>
            </w:pPr>
          </w:p>
          <w:p w14:paraId="781CFB6A" w14:textId="77777777" w:rsidR="002D1A1E" w:rsidRDefault="002D1A1E" w:rsidP="00343D93">
            <w:pPr>
              <w:spacing w:after="90"/>
            </w:pPr>
            <w:r>
              <w:t>Application and Interview</w:t>
            </w:r>
          </w:p>
          <w:p w14:paraId="6D391CF7" w14:textId="77777777" w:rsidR="002D1A1E" w:rsidRDefault="002D1A1E" w:rsidP="00343D93">
            <w:pPr>
              <w:spacing w:after="90"/>
            </w:pPr>
          </w:p>
          <w:p w14:paraId="3E082DC1" w14:textId="42735A20" w:rsidR="002D1A1E" w:rsidRDefault="002D1A1E" w:rsidP="00343D93">
            <w:pPr>
              <w:spacing w:after="90"/>
            </w:pPr>
            <w:r>
              <w:t>Interview</w:t>
            </w:r>
          </w:p>
          <w:p w14:paraId="2A335C3A" w14:textId="77777777" w:rsidR="002D1A1E" w:rsidRDefault="002D1A1E" w:rsidP="00343D93">
            <w:pPr>
              <w:spacing w:after="90"/>
            </w:pPr>
          </w:p>
          <w:p w14:paraId="588F3C50" w14:textId="77777777" w:rsidR="002D1A1E" w:rsidRDefault="002D1A1E" w:rsidP="00343D93">
            <w:pPr>
              <w:spacing w:after="90"/>
            </w:pPr>
          </w:p>
          <w:p w14:paraId="2E7EF7FB" w14:textId="77777777" w:rsidR="002D1A1E" w:rsidRDefault="002D1A1E" w:rsidP="00343D93">
            <w:pPr>
              <w:spacing w:after="90"/>
            </w:pPr>
          </w:p>
          <w:p w14:paraId="5DB988A6" w14:textId="4DD5DE7F" w:rsidR="002D1A1E" w:rsidRDefault="002D1A1E" w:rsidP="00343D93">
            <w:pPr>
              <w:spacing w:after="90"/>
            </w:pPr>
            <w:r>
              <w:t>Interview</w:t>
            </w:r>
          </w:p>
          <w:p w14:paraId="7961A09E" w14:textId="77777777" w:rsidR="002D1A1E" w:rsidRDefault="002D1A1E" w:rsidP="00343D93">
            <w:pPr>
              <w:spacing w:after="90"/>
            </w:pPr>
          </w:p>
          <w:p w14:paraId="7E9F8CA9" w14:textId="77777777" w:rsidR="002D1A1E" w:rsidRDefault="002D1A1E" w:rsidP="00343D93">
            <w:pPr>
              <w:spacing w:after="90"/>
            </w:pPr>
          </w:p>
          <w:p w14:paraId="43B82A3B" w14:textId="004FFAB5" w:rsidR="002D1A1E" w:rsidRDefault="002D1A1E" w:rsidP="00343D93">
            <w:pPr>
              <w:spacing w:after="90"/>
            </w:pPr>
            <w:r>
              <w:t xml:space="preserve">Interview </w:t>
            </w:r>
          </w:p>
          <w:p w14:paraId="15BF08CD" w14:textId="65A7A9D7" w:rsidR="002D1A1E" w:rsidRDefault="002D1A1E" w:rsidP="00343D93">
            <w:pPr>
              <w:spacing w:after="90"/>
            </w:pPr>
          </w:p>
        </w:tc>
      </w:tr>
      <w:tr w:rsidR="00013C10" w14:paraId="15BF08D3" w14:textId="77777777" w:rsidTr="00013C10">
        <w:tc>
          <w:tcPr>
            <w:tcW w:w="1617" w:type="dxa"/>
          </w:tcPr>
          <w:p w14:paraId="15BF08CF" w14:textId="6952AC8B" w:rsidR="00013C10" w:rsidRPr="00FD5B0E" w:rsidRDefault="00013C10" w:rsidP="00321CAA">
            <w:r w:rsidRPr="00FD5B0E">
              <w:t xml:space="preserve">Communicating </w:t>
            </w:r>
            <w:r w:rsidR="00746AEB">
              <w:t>and</w:t>
            </w:r>
            <w:r w:rsidRPr="00FD5B0E">
              <w:t xml:space="preserve"> influencing</w:t>
            </w:r>
          </w:p>
        </w:tc>
        <w:tc>
          <w:tcPr>
            <w:tcW w:w="3402" w:type="dxa"/>
          </w:tcPr>
          <w:p w14:paraId="573F2D71" w14:textId="027616FE" w:rsidR="00E24B01" w:rsidRDefault="00E24B01" w:rsidP="00057DE4">
            <w:pPr>
              <w:spacing w:after="90"/>
            </w:pPr>
            <w:r>
              <w:t>Excellent presentation and verbal skills, with ability to communicate confidently at all levels</w:t>
            </w:r>
          </w:p>
          <w:p w14:paraId="075CBC22" w14:textId="77777777" w:rsidR="00E24B01" w:rsidRDefault="00E24B01" w:rsidP="00057DE4">
            <w:pPr>
              <w:spacing w:after="90"/>
            </w:pPr>
          </w:p>
          <w:p w14:paraId="1A83A27C" w14:textId="77777777" w:rsidR="00E24B01" w:rsidRDefault="00E24B01" w:rsidP="00057DE4">
            <w:pPr>
              <w:spacing w:after="90"/>
            </w:pPr>
          </w:p>
          <w:p w14:paraId="64692561" w14:textId="2DBF2F3A" w:rsidR="004D4966" w:rsidRDefault="00C83F50" w:rsidP="00057DE4">
            <w:pPr>
              <w:spacing w:after="90"/>
            </w:pPr>
            <w:r>
              <w:t>Able to negotiate effectively on behalf of the department or University on key issues.</w:t>
            </w:r>
          </w:p>
          <w:p w14:paraId="18527DD2" w14:textId="77777777" w:rsidR="00C83F50" w:rsidRDefault="00C83F50" w:rsidP="00057DE4">
            <w:pPr>
              <w:spacing w:after="90"/>
            </w:pPr>
            <w:r>
              <w:t>Able to develop and lead key communications strategies.</w:t>
            </w:r>
          </w:p>
          <w:p w14:paraId="4C8BD2FB" w14:textId="77777777" w:rsidR="00E24B01" w:rsidRDefault="00E24B01" w:rsidP="00057DE4">
            <w:pPr>
              <w:spacing w:after="90"/>
            </w:pPr>
          </w:p>
          <w:p w14:paraId="4B862F6F" w14:textId="77777777" w:rsidR="00E24B01" w:rsidRDefault="00E24B01" w:rsidP="00057DE4">
            <w:pPr>
              <w:spacing w:after="90"/>
            </w:pPr>
            <w:r>
              <w:t>Able to persuade, influence and collaborate with a wide range of people of</w:t>
            </w:r>
            <w:r w:rsidR="006E05EC">
              <w:t xml:space="preserve"> different backgrounds and expertise, internally and externally</w:t>
            </w:r>
          </w:p>
          <w:p w14:paraId="453EB8E9" w14:textId="77777777" w:rsidR="006E05EC" w:rsidRDefault="006E05EC" w:rsidP="00057DE4">
            <w:pPr>
              <w:spacing w:after="90"/>
            </w:pPr>
          </w:p>
          <w:p w14:paraId="2431406C" w14:textId="77777777" w:rsidR="006E05EC" w:rsidRDefault="006E05EC" w:rsidP="00057DE4">
            <w:pPr>
              <w:spacing w:after="90"/>
            </w:pPr>
            <w:r>
              <w:t>Excellent writing skills with ability to produce and present complex issues in a focused, succinct, professional and persuasive manner</w:t>
            </w:r>
          </w:p>
          <w:p w14:paraId="6BFCAF5C" w14:textId="77777777" w:rsidR="000A72A1" w:rsidRDefault="000A72A1" w:rsidP="00057DE4">
            <w:pPr>
              <w:spacing w:after="90"/>
            </w:pPr>
          </w:p>
          <w:p w14:paraId="6701677A" w14:textId="77777777" w:rsidR="000A72A1" w:rsidRDefault="000A72A1" w:rsidP="00057DE4">
            <w:pPr>
              <w:spacing w:after="90"/>
            </w:pPr>
            <w:r>
              <w:t>Ab</w:t>
            </w:r>
            <w:r w:rsidR="00EC5701">
              <w:t>le to receive, understand and convey complex theoretical ideals or information and transform them into accessible implementation plans</w:t>
            </w:r>
          </w:p>
          <w:p w14:paraId="57ED8FF2" w14:textId="77777777" w:rsidR="00EC5701" w:rsidRDefault="00EC5701" w:rsidP="00057DE4">
            <w:pPr>
              <w:spacing w:after="90"/>
            </w:pPr>
          </w:p>
          <w:p w14:paraId="15BF08D0" w14:textId="72FA90CB" w:rsidR="00EC5701" w:rsidRDefault="00EC5701" w:rsidP="00057DE4">
            <w:pPr>
              <w:spacing w:after="90"/>
            </w:pPr>
            <w:r>
              <w:t>Able to demonstrate a strong stakeholder focus and an anticipato</w:t>
            </w:r>
            <w:r w:rsidR="002B7759">
              <w:t xml:space="preserve">ry, agile and responsive approach identifying issues and responding to user and stakeholder requirements </w:t>
            </w:r>
          </w:p>
        </w:tc>
        <w:tc>
          <w:tcPr>
            <w:tcW w:w="3402" w:type="dxa"/>
          </w:tcPr>
          <w:p w14:paraId="15BF08D1" w14:textId="6F8313F9" w:rsidR="00013C10" w:rsidRDefault="00013C10" w:rsidP="00343D93">
            <w:pPr>
              <w:spacing w:after="90"/>
            </w:pPr>
          </w:p>
        </w:tc>
        <w:tc>
          <w:tcPr>
            <w:tcW w:w="1330" w:type="dxa"/>
          </w:tcPr>
          <w:p w14:paraId="7FAD3AFB" w14:textId="77777777" w:rsidR="002D1A1E" w:rsidRDefault="002D1A1E" w:rsidP="00343D93">
            <w:pPr>
              <w:spacing w:after="90"/>
            </w:pPr>
            <w:r>
              <w:t>Application and Interview</w:t>
            </w:r>
          </w:p>
          <w:p w14:paraId="44F53F72" w14:textId="77777777" w:rsidR="002D1A1E" w:rsidRDefault="002D1A1E" w:rsidP="00343D93">
            <w:pPr>
              <w:spacing w:after="90"/>
            </w:pPr>
          </w:p>
          <w:p w14:paraId="1F073CEE" w14:textId="77777777" w:rsidR="002D1A1E" w:rsidRDefault="002D1A1E" w:rsidP="00343D93">
            <w:pPr>
              <w:spacing w:after="90"/>
            </w:pPr>
          </w:p>
          <w:p w14:paraId="1014C483" w14:textId="076A1CDD" w:rsidR="002D1A1E" w:rsidRDefault="002D1A1E" w:rsidP="00343D93">
            <w:pPr>
              <w:spacing w:after="90"/>
            </w:pPr>
          </w:p>
          <w:p w14:paraId="0995D461" w14:textId="71D96005" w:rsidR="002D1A1E" w:rsidRDefault="002D1A1E" w:rsidP="00343D93">
            <w:pPr>
              <w:spacing w:after="90"/>
            </w:pPr>
            <w:r>
              <w:t>Interview</w:t>
            </w:r>
          </w:p>
          <w:p w14:paraId="1ED6F6E1" w14:textId="77777777" w:rsidR="002D1A1E" w:rsidRDefault="002D1A1E" w:rsidP="00343D93">
            <w:pPr>
              <w:spacing w:after="90"/>
            </w:pPr>
          </w:p>
          <w:p w14:paraId="7251BE1C" w14:textId="5295F3E0" w:rsidR="002D1A1E" w:rsidRDefault="002D1A1E" w:rsidP="00343D93">
            <w:pPr>
              <w:spacing w:after="90"/>
            </w:pPr>
            <w:r>
              <w:t>Interview</w:t>
            </w:r>
          </w:p>
          <w:p w14:paraId="22EFF6A3" w14:textId="77777777" w:rsidR="002D1A1E" w:rsidRDefault="002D1A1E" w:rsidP="00343D93">
            <w:pPr>
              <w:spacing w:after="90"/>
            </w:pPr>
          </w:p>
          <w:p w14:paraId="3E36DC97" w14:textId="618FAE9A" w:rsidR="002D1A1E" w:rsidRDefault="002D1A1E" w:rsidP="00343D93">
            <w:pPr>
              <w:spacing w:after="90"/>
            </w:pPr>
            <w:r>
              <w:t>Interview</w:t>
            </w:r>
          </w:p>
          <w:p w14:paraId="02EE8C82" w14:textId="77777777" w:rsidR="002D1A1E" w:rsidRDefault="002D1A1E" w:rsidP="00343D93">
            <w:pPr>
              <w:spacing w:after="90"/>
            </w:pPr>
          </w:p>
          <w:p w14:paraId="6D29DAC8" w14:textId="77777777" w:rsidR="002D1A1E" w:rsidRDefault="002D1A1E" w:rsidP="00343D93">
            <w:pPr>
              <w:spacing w:after="90"/>
            </w:pPr>
          </w:p>
          <w:p w14:paraId="5BC80F59" w14:textId="77777777" w:rsidR="002D1A1E" w:rsidRDefault="002D1A1E" w:rsidP="00343D93">
            <w:pPr>
              <w:spacing w:after="90"/>
            </w:pPr>
          </w:p>
          <w:p w14:paraId="5AD0CFE6" w14:textId="77777777" w:rsidR="002D1A1E" w:rsidRDefault="002D1A1E" w:rsidP="00343D93">
            <w:pPr>
              <w:spacing w:after="90"/>
            </w:pPr>
          </w:p>
          <w:p w14:paraId="7712638E" w14:textId="32E7F6DA" w:rsidR="002D1A1E" w:rsidRDefault="002D1A1E" w:rsidP="00343D93">
            <w:pPr>
              <w:spacing w:after="90"/>
            </w:pPr>
            <w:r>
              <w:t>Application and Interview</w:t>
            </w:r>
          </w:p>
          <w:p w14:paraId="5258A4A7" w14:textId="77777777" w:rsidR="002D1A1E" w:rsidRDefault="002D1A1E" w:rsidP="00343D93">
            <w:pPr>
              <w:spacing w:after="90"/>
            </w:pPr>
          </w:p>
          <w:p w14:paraId="5EE5BA9F" w14:textId="77777777" w:rsidR="002D1A1E" w:rsidRDefault="002D1A1E" w:rsidP="00343D93">
            <w:pPr>
              <w:spacing w:after="90"/>
            </w:pPr>
          </w:p>
          <w:p w14:paraId="019BD80E" w14:textId="77777777" w:rsidR="002D1A1E" w:rsidRDefault="002D1A1E" w:rsidP="00343D93">
            <w:pPr>
              <w:spacing w:after="90"/>
            </w:pPr>
          </w:p>
          <w:p w14:paraId="1E129569" w14:textId="77777777" w:rsidR="002D1A1E" w:rsidRDefault="002D1A1E" w:rsidP="00343D93">
            <w:pPr>
              <w:spacing w:after="90"/>
            </w:pPr>
          </w:p>
          <w:p w14:paraId="00721416" w14:textId="77777777" w:rsidR="002D1A1E" w:rsidRDefault="002D1A1E" w:rsidP="00343D93">
            <w:pPr>
              <w:spacing w:after="90"/>
            </w:pPr>
          </w:p>
          <w:p w14:paraId="5F8F863E" w14:textId="566B17BB" w:rsidR="002D1A1E" w:rsidRDefault="002D1A1E" w:rsidP="00343D93">
            <w:pPr>
              <w:spacing w:after="90"/>
            </w:pPr>
            <w:r>
              <w:t>Interview</w:t>
            </w:r>
          </w:p>
          <w:p w14:paraId="0A33F0AB" w14:textId="77777777" w:rsidR="002D1A1E" w:rsidRDefault="002D1A1E" w:rsidP="00343D93">
            <w:pPr>
              <w:spacing w:after="90"/>
            </w:pPr>
          </w:p>
          <w:p w14:paraId="7D35BFAB" w14:textId="77777777" w:rsidR="002D1A1E" w:rsidRDefault="002D1A1E" w:rsidP="00343D93">
            <w:pPr>
              <w:spacing w:after="90"/>
            </w:pPr>
          </w:p>
          <w:p w14:paraId="4E81C018" w14:textId="77777777" w:rsidR="002D1A1E" w:rsidRDefault="002D1A1E" w:rsidP="00343D93">
            <w:pPr>
              <w:spacing w:after="90"/>
            </w:pPr>
          </w:p>
          <w:p w14:paraId="412CE125" w14:textId="298952FF" w:rsidR="002D1A1E" w:rsidRDefault="002D1A1E" w:rsidP="00343D93">
            <w:pPr>
              <w:spacing w:after="90"/>
            </w:pPr>
            <w:r>
              <w:t xml:space="preserve">Interview </w:t>
            </w:r>
          </w:p>
          <w:p w14:paraId="4C341C3B" w14:textId="77777777" w:rsidR="002D1A1E" w:rsidRDefault="002D1A1E" w:rsidP="00343D93">
            <w:pPr>
              <w:spacing w:after="90"/>
            </w:pPr>
          </w:p>
          <w:p w14:paraId="2890FB8B" w14:textId="77777777" w:rsidR="002D1A1E" w:rsidRDefault="002D1A1E" w:rsidP="00343D93">
            <w:pPr>
              <w:spacing w:after="90"/>
            </w:pPr>
          </w:p>
          <w:p w14:paraId="7C69FD24" w14:textId="77777777" w:rsidR="002D1A1E" w:rsidRDefault="002D1A1E" w:rsidP="00343D93">
            <w:pPr>
              <w:spacing w:after="90"/>
            </w:pPr>
          </w:p>
          <w:p w14:paraId="41BA9960" w14:textId="77777777" w:rsidR="002D1A1E" w:rsidRDefault="002D1A1E" w:rsidP="00343D93">
            <w:pPr>
              <w:spacing w:after="90"/>
            </w:pPr>
          </w:p>
          <w:p w14:paraId="15BF08D2" w14:textId="3E24426A" w:rsidR="00013C10" w:rsidRDefault="002D1A1E" w:rsidP="00343D93">
            <w:pPr>
              <w:spacing w:after="90"/>
            </w:pPr>
            <w:r>
              <w:t xml:space="preserve"> </w:t>
            </w:r>
          </w:p>
        </w:tc>
      </w:tr>
      <w:tr w:rsidR="00013C10" w14:paraId="15BF08DD" w14:textId="77777777" w:rsidTr="00013C10">
        <w:tc>
          <w:tcPr>
            <w:tcW w:w="1617" w:type="dxa"/>
          </w:tcPr>
          <w:p w14:paraId="15BF08D9" w14:textId="77777777" w:rsidR="00013C10" w:rsidRPr="00FD5B0E" w:rsidRDefault="00013C10" w:rsidP="00321CAA">
            <w:r w:rsidRPr="00FD5B0E">
              <w:lastRenderedPageBreak/>
              <w:t>Special requirements</w:t>
            </w:r>
          </w:p>
        </w:tc>
        <w:tc>
          <w:tcPr>
            <w:tcW w:w="3402" w:type="dxa"/>
          </w:tcPr>
          <w:p w14:paraId="51A846B9" w14:textId="77777777" w:rsidR="00B970E0" w:rsidRPr="00FD6B38" w:rsidRDefault="00B970E0" w:rsidP="00B970E0">
            <w:pPr>
              <w:spacing w:after="120"/>
            </w:pPr>
            <w:r w:rsidRPr="00FD6B38">
              <w:rPr>
                <w:b/>
                <w:u w:val="single"/>
              </w:rPr>
              <w:t>Embedding Collegiality</w:t>
            </w:r>
            <w:r w:rsidRPr="00FD6B38">
              <w:rPr>
                <w:b/>
              </w:rPr>
              <w:t>*</w:t>
            </w:r>
            <w:r w:rsidRPr="00FD6B38">
              <w:t xml:space="preserve"> (see below)</w:t>
            </w:r>
          </w:p>
          <w:p w14:paraId="15BF08DA" w14:textId="3FAE077D" w:rsidR="00013C10" w:rsidRDefault="00B970E0" w:rsidP="00B970E0">
            <w:pPr>
              <w:spacing w:after="90"/>
            </w:pPr>
            <w:r w:rsidRPr="00FD6B38">
              <w:t>As a line manager, role model the Southampton Behaviours and work with colleagues to embed them as a way of working within the team</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EBA04E4" w:rsidR="00D3349E" w:rsidRDefault="00000000" w:rsidP="00E264FD">
            <w:sdt>
              <w:sdtPr>
                <w:id w:val="579254332"/>
                <w14:checkbox>
                  <w14:checked w14:val="1"/>
                  <w14:checkedState w14:val="2612" w14:font="MS Gothic"/>
                  <w14:uncheckedState w14:val="2610" w14:font="MS Gothic"/>
                </w14:checkbox>
              </w:sdtPr>
              <w:sdtContent>
                <w:r w:rsidR="008F4A0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Default="00F01EA0" w:rsidP="0012209D"/>
    <w:p w14:paraId="27BEAC15" w14:textId="77777777" w:rsidR="00742B40" w:rsidRDefault="00742B40" w:rsidP="0012209D"/>
    <w:p w14:paraId="6E52316E" w14:textId="77777777" w:rsidR="00742B40" w:rsidRDefault="00742B40" w:rsidP="0012209D"/>
    <w:p w14:paraId="5E861D15" w14:textId="77777777" w:rsidR="00742B40" w:rsidRDefault="00742B40" w:rsidP="0012209D"/>
    <w:p w14:paraId="01479B5B" w14:textId="77777777" w:rsidR="00742B40" w:rsidRDefault="00742B40" w:rsidP="0012209D"/>
    <w:p w14:paraId="07B0233C" w14:textId="77777777" w:rsidR="00742B40" w:rsidRDefault="00742B40" w:rsidP="00742B40">
      <w:pPr>
        <w:overflowPunct/>
        <w:autoSpaceDE/>
        <w:autoSpaceDN/>
        <w:adjustRightInd/>
        <w:spacing w:before="0" w:after="0"/>
        <w:textAlignment w:val="auto"/>
      </w:pPr>
      <w:r>
        <w:rPr>
          <w:sz w:val="52"/>
          <w:szCs w:val="52"/>
        </w:rPr>
        <w:lastRenderedPageBreak/>
        <w:t>Embedding Collegiality</w:t>
      </w:r>
    </w:p>
    <w:p w14:paraId="0B44759D" w14:textId="77777777" w:rsidR="00742B40" w:rsidRDefault="00742B40" w:rsidP="00742B40">
      <w:pPr>
        <w:spacing w:after="0"/>
      </w:pPr>
    </w:p>
    <w:p w14:paraId="5C60C015" w14:textId="77777777" w:rsidR="00742B40" w:rsidRDefault="00742B40" w:rsidP="00742B40">
      <w:pPr>
        <w:spacing w:after="0"/>
      </w:pPr>
      <w:r>
        <w:t xml:space="preserve">Collegiality represents one of the four core principles of the University; Collegiality, Quality, Internationalisation and Sustainability and is at the heart of everything we do. Our Southampton Behaviours set out our expectations of all staff across the University to support the achievement of our strategy. </w:t>
      </w:r>
    </w:p>
    <w:p w14:paraId="06B5BA60" w14:textId="77777777" w:rsidR="00742B40" w:rsidRDefault="00742B40" w:rsidP="00742B40">
      <w:pPr>
        <w:spacing w:after="0"/>
      </w:pPr>
    </w:p>
    <w:p w14:paraId="04BBB910" w14:textId="77777777" w:rsidR="00742B40" w:rsidRDefault="00742B40" w:rsidP="00742B40">
      <w:pPr>
        <w:spacing w:after="0"/>
      </w:pPr>
    </w:p>
    <w:tbl>
      <w:tblPr>
        <w:tblW w:w="9519" w:type="dxa"/>
        <w:tblInd w:w="108" w:type="dxa"/>
        <w:tblLook w:val="04A0" w:firstRow="1" w:lastRow="0" w:firstColumn="1" w:lastColumn="0" w:noHBand="0" w:noVBand="1"/>
      </w:tblPr>
      <w:tblGrid>
        <w:gridCol w:w="1305"/>
        <w:gridCol w:w="8214"/>
      </w:tblGrid>
      <w:tr w:rsidR="00742B40" w:rsidRPr="00EA3D33" w14:paraId="6305B293" w14:textId="77777777" w:rsidTr="009A35DA">
        <w:trPr>
          <w:trHeight w:val="330"/>
        </w:trPr>
        <w:tc>
          <w:tcPr>
            <w:tcW w:w="1305" w:type="dxa"/>
            <w:tcBorders>
              <w:top w:val="single" w:sz="4" w:space="0" w:color="auto"/>
              <w:left w:val="single" w:sz="4" w:space="0" w:color="auto"/>
              <w:bottom w:val="nil"/>
              <w:right w:val="nil"/>
            </w:tcBorders>
            <w:shd w:val="clear" w:color="auto" w:fill="auto"/>
            <w:noWrap/>
            <w:vAlign w:val="center"/>
            <w:hideMark/>
          </w:tcPr>
          <w:p w14:paraId="30B75987" w14:textId="77777777" w:rsidR="00742B40" w:rsidRPr="00EA3D33" w:rsidRDefault="00742B40" w:rsidP="009A35DA">
            <w:pPr>
              <w:spacing w:after="0" w:line="276" w:lineRule="auto"/>
              <w:jc w:val="center"/>
              <w:rPr>
                <w:szCs w:val="18"/>
              </w:rPr>
            </w:pPr>
            <w:r w:rsidRPr="004E347B">
              <w:rPr>
                <w:rFonts w:ascii="Calibri" w:hAnsi="Calibri"/>
                <w:b/>
                <w:bCs/>
                <w:color w:val="000000"/>
                <w:szCs w:val="18"/>
              </w:rPr>
              <w:t>All staff</w:t>
            </w:r>
          </w:p>
        </w:tc>
        <w:tc>
          <w:tcPr>
            <w:tcW w:w="8214" w:type="dxa"/>
            <w:tcBorders>
              <w:top w:val="single" w:sz="4" w:space="0" w:color="auto"/>
              <w:left w:val="single" w:sz="8" w:space="0" w:color="auto"/>
              <w:bottom w:val="nil"/>
              <w:right w:val="single" w:sz="4" w:space="0" w:color="auto"/>
            </w:tcBorders>
            <w:shd w:val="clear" w:color="auto" w:fill="auto"/>
            <w:noWrap/>
            <w:vAlign w:val="center"/>
            <w:hideMark/>
          </w:tcPr>
          <w:p w14:paraId="04F26B29" w14:textId="77777777" w:rsidR="00742B40" w:rsidRPr="00EA3D33" w:rsidRDefault="00742B40" w:rsidP="009A35DA">
            <w:pPr>
              <w:spacing w:after="0" w:line="276" w:lineRule="auto"/>
              <w:jc w:val="center"/>
              <w:rPr>
                <w:rFonts w:ascii="Calibri" w:hAnsi="Calibri"/>
                <w:b/>
                <w:bCs/>
                <w:color w:val="000000"/>
                <w:szCs w:val="18"/>
              </w:rPr>
            </w:pPr>
            <w:r w:rsidRPr="00EA3D33">
              <w:rPr>
                <w:rFonts w:ascii="Calibri" w:hAnsi="Calibri"/>
                <w:b/>
                <w:bCs/>
                <w:color w:val="000000"/>
                <w:szCs w:val="18"/>
              </w:rPr>
              <w:t>Behaviour</w:t>
            </w:r>
          </w:p>
        </w:tc>
      </w:tr>
      <w:tr w:rsidR="00742B40" w:rsidRPr="00EA3D33" w14:paraId="00C4FB8F" w14:textId="77777777" w:rsidTr="009A35DA">
        <w:trPr>
          <w:trHeight w:val="60"/>
        </w:trPr>
        <w:tc>
          <w:tcPr>
            <w:tcW w:w="1305"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6CA09175" w14:textId="77777777" w:rsidR="00742B40" w:rsidRPr="00EA3D33" w:rsidRDefault="00742B40" w:rsidP="009A35DA">
            <w:pPr>
              <w:spacing w:after="0" w:line="276" w:lineRule="auto"/>
              <w:jc w:val="center"/>
              <w:rPr>
                <w:rFonts w:ascii="Calibri" w:hAnsi="Calibri"/>
                <w:b/>
                <w:bCs/>
                <w:color w:val="FFFFFF"/>
                <w:szCs w:val="18"/>
              </w:rPr>
            </w:pPr>
            <w:r w:rsidRPr="00EA3D33">
              <w:rPr>
                <w:rFonts w:ascii="Calibri" w:hAnsi="Calibri"/>
                <w:b/>
                <w:bCs/>
                <w:color w:val="FFFFFF"/>
                <w:szCs w:val="18"/>
              </w:rPr>
              <w:t>Personal Leadership</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66F93076"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take personal responsibility for my own actions and an active approach towards my development</w:t>
            </w:r>
          </w:p>
        </w:tc>
      </w:tr>
      <w:tr w:rsidR="00742B40" w:rsidRPr="00EA3D33" w14:paraId="32D67258" w14:textId="77777777" w:rsidTr="009A35DA">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1FF34483"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52982BD5"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reflect on my own behaviour, actively seek feedback and adapt my behaviour accordingly</w:t>
            </w:r>
          </w:p>
        </w:tc>
      </w:tr>
      <w:tr w:rsidR="00742B40" w:rsidRPr="00EA3D33" w14:paraId="035EC9F9" w14:textId="77777777" w:rsidTr="009A35DA">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67ED6199"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18C61D4D"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show pride, passion and enthusiasm for our University community</w:t>
            </w:r>
          </w:p>
        </w:tc>
      </w:tr>
      <w:tr w:rsidR="00742B40" w:rsidRPr="00EA3D33" w14:paraId="01DCAD61" w14:textId="77777777" w:rsidTr="009A35DA">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6677155E"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8" w:space="0" w:color="auto"/>
              <w:right w:val="single" w:sz="4" w:space="0" w:color="auto"/>
            </w:tcBorders>
            <w:shd w:val="clear" w:color="auto" w:fill="auto"/>
            <w:vAlign w:val="center"/>
            <w:hideMark/>
          </w:tcPr>
          <w:p w14:paraId="017BB508"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demonstrate respect and build trust with an open and honest approach</w:t>
            </w:r>
          </w:p>
        </w:tc>
      </w:tr>
      <w:tr w:rsidR="00742B40" w:rsidRPr="00EA3D33" w14:paraId="599945E4" w14:textId="77777777" w:rsidTr="009A35DA">
        <w:trPr>
          <w:trHeight w:val="150"/>
        </w:trPr>
        <w:tc>
          <w:tcPr>
            <w:tcW w:w="1305" w:type="dxa"/>
            <w:tcBorders>
              <w:top w:val="nil"/>
              <w:left w:val="single" w:sz="4" w:space="0" w:color="auto"/>
              <w:bottom w:val="nil"/>
              <w:right w:val="nil"/>
            </w:tcBorders>
            <w:shd w:val="clear" w:color="000000" w:fill="808080"/>
            <w:noWrap/>
            <w:vAlign w:val="center"/>
            <w:hideMark/>
          </w:tcPr>
          <w:p w14:paraId="09F421EF"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 </w:t>
            </w:r>
          </w:p>
        </w:tc>
        <w:tc>
          <w:tcPr>
            <w:tcW w:w="8214" w:type="dxa"/>
            <w:tcBorders>
              <w:top w:val="nil"/>
              <w:left w:val="nil"/>
              <w:bottom w:val="nil"/>
              <w:right w:val="single" w:sz="4" w:space="0" w:color="auto"/>
            </w:tcBorders>
            <w:shd w:val="clear" w:color="000000" w:fill="808080"/>
            <w:vAlign w:val="center"/>
            <w:hideMark/>
          </w:tcPr>
          <w:p w14:paraId="75C67592"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 </w:t>
            </w:r>
          </w:p>
        </w:tc>
      </w:tr>
      <w:tr w:rsidR="00742B40" w:rsidRPr="00EA3D33" w14:paraId="4ADF92A2" w14:textId="77777777" w:rsidTr="009A35DA">
        <w:trPr>
          <w:trHeight w:val="60"/>
        </w:trPr>
        <w:tc>
          <w:tcPr>
            <w:tcW w:w="1305"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681B1344" w14:textId="77777777" w:rsidR="00742B40" w:rsidRPr="00EA3D33" w:rsidRDefault="00742B40" w:rsidP="009A35DA">
            <w:pPr>
              <w:spacing w:after="0" w:line="276" w:lineRule="auto"/>
              <w:jc w:val="center"/>
              <w:rPr>
                <w:rFonts w:ascii="Calibri" w:hAnsi="Calibri"/>
                <w:b/>
                <w:bCs/>
                <w:color w:val="FFFFFF"/>
                <w:szCs w:val="18"/>
              </w:rPr>
            </w:pPr>
            <w:r w:rsidRPr="00EA3D33">
              <w:rPr>
                <w:rFonts w:ascii="Calibri" w:hAnsi="Calibri"/>
                <w:b/>
                <w:bCs/>
                <w:color w:val="FFFFFF"/>
                <w:szCs w:val="18"/>
              </w:rPr>
              <w:t xml:space="preserve">Working Together </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71BF16EE"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work collaboratively and build productive relationships across our University and beyond</w:t>
            </w:r>
          </w:p>
        </w:tc>
      </w:tr>
      <w:tr w:rsidR="00742B40" w:rsidRPr="00EA3D33" w14:paraId="2910A533" w14:textId="77777777" w:rsidTr="009A35DA">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7E093986"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42F0C05E"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actively listen to others and communicate clearly and appropriately with everyone</w:t>
            </w:r>
          </w:p>
        </w:tc>
      </w:tr>
      <w:tr w:rsidR="00742B40" w:rsidRPr="00EA3D33" w14:paraId="3B98366B" w14:textId="77777777" w:rsidTr="009A35DA">
        <w:trPr>
          <w:trHeight w:val="234"/>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7E9E6134"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1D03F344"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take an inclusive approach, value the differences that people bring and encourage others to contribute and flourish</w:t>
            </w:r>
          </w:p>
        </w:tc>
      </w:tr>
      <w:tr w:rsidR="00742B40" w:rsidRPr="00EA3D33" w14:paraId="0F8301EB" w14:textId="77777777" w:rsidTr="009A35DA">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596C81FC"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8" w:space="0" w:color="auto"/>
              <w:right w:val="single" w:sz="4" w:space="0" w:color="auto"/>
            </w:tcBorders>
            <w:shd w:val="clear" w:color="auto" w:fill="auto"/>
            <w:vAlign w:val="center"/>
            <w:hideMark/>
          </w:tcPr>
          <w:p w14:paraId="32C37597"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proactively work through challenge and conflict, considering others’ views to achieve positive and productive outcomes</w:t>
            </w:r>
          </w:p>
        </w:tc>
      </w:tr>
      <w:tr w:rsidR="00742B40" w:rsidRPr="00EA3D33" w14:paraId="55D336E8" w14:textId="77777777" w:rsidTr="009A35DA">
        <w:trPr>
          <w:trHeight w:val="150"/>
        </w:trPr>
        <w:tc>
          <w:tcPr>
            <w:tcW w:w="1305" w:type="dxa"/>
            <w:tcBorders>
              <w:top w:val="nil"/>
              <w:left w:val="single" w:sz="4" w:space="0" w:color="auto"/>
              <w:bottom w:val="nil"/>
              <w:right w:val="nil"/>
            </w:tcBorders>
            <w:shd w:val="clear" w:color="000000" w:fill="808080"/>
            <w:noWrap/>
            <w:vAlign w:val="center"/>
            <w:hideMark/>
          </w:tcPr>
          <w:p w14:paraId="2FED429A"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 </w:t>
            </w:r>
          </w:p>
        </w:tc>
        <w:tc>
          <w:tcPr>
            <w:tcW w:w="8214" w:type="dxa"/>
            <w:tcBorders>
              <w:top w:val="nil"/>
              <w:left w:val="nil"/>
              <w:bottom w:val="nil"/>
              <w:right w:val="single" w:sz="4" w:space="0" w:color="auto"/>
            </w:tcBorders>
            <w:shd w:val="clear" w:color="000000" w:fill="808080"/>
            <w:vAlign w:val="center"/>
            <w:hideMark/>
          </w:tcPr>
          <w:p w14:paraId="3C20EA8F"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 </w:t>
            </w:r>
          </w:p>
        </w:tc>
      </w:tr>
      <w:tr w:rsidR="00742B40" w:rsidRPr="00EA3D33" w14:paraId="1F528973" w14:textId="77777777" w:rsidTr="009A35DA">
        <w:trPr>
          <w:trHeight w:val="60"/>
        </w:trPr>
        <w:tc>
          <w:tcPr>
            <w:tcW w:w="1305"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22EE3CA6" w14:textId="77777777" w:rsidR="00742B40" w:rsidRPr="00EA3D33" w:rsidRDefault="00742B40" w:rsidP="009A35DA">
            <w:pPr>
              <w:spacing w:after="0" w:line="276" w:lineRule="auto"/>
              <w:jc w:val="center"/>
              <w:rPr>
                <w:rFonts w:ascii="Calibri" w:hAnsi="Calibri"/>
                <w:b/>
                <w:bCs/>
                <w:color w:val="FFFFFF"/>
                <w:szCs w:val="18"/>
              </w:rPr>
            </w:pPr>
            <w:r w:rsidRPr="00EA3D33">
              <w:rPr>
                <w:rFonts w:ascii="Calibri" w:hAnsi="Calibri"/>
                <w:b/>
                <w:bCs/>
                <w:color w:val="FFFFFF"/>
                <w:szCs w:val="18"/>
              </w:rPr>
              <w:t>Developing Others</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28996208"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help to create an environment that engages and motivates others</w:t>
            </w:r>
          </w:p>
        </w:tc>
      </w:tr>
      <w:tr w:rsidR="00742B40" w:rsidRPr="00EA3D33" w14:paraId="5EEE360C" w14:textId="77777777" w:rsidTr="009A35DA">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3C6FD1A0"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28C9C097"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take time to support and enable people to be the best they can</w:t>
            </w:r>
          </w:p>
        </w:tc>
      </w:tr>
      <w:tr w:rsidR="00742B40" w:rsidRPr="00EA3D33" w14:paraId="3AEA0495" w14:textId="77777777" w:rsidTr="009A35DA">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739C585A"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4FF66769"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recognise and value others’ achievements, give praise and celebrate their success</w:t>
            </w:r>
          </w:p>
        </w:tc>
      </w:tr>
      <w:tr w:rsidR="00742B40" w:rsidRPr="00EA3D33" w14:paraId="0B872A42" w14:textId="77777777" w:rsidTr="009A35DA">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3EBE8F03"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8" w:space="0" w:color="auto"/>
              <w:right w:val="single" w:sz="4" w:space="0" w:color="auto"/>
            </w:tcBorders>
            <w:shd w:val="clear" w:color="auto" w:fill="auto"/>
            <w:vAlign w:val="center"/>
            <w:hideMark/>
          </w:tcPr>
          <w:p w14:paraId="2F81397D"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 xml:space="preserve">I deliver balanced feedback to enable others to improve their contribution </w:t>
            </w:r>
          </w:p>
        </w:tc>
      </w:tr>
      <w:tr w:rsidR="00742B40" w:rsidRPr="00EA3D33" w14:paraId="7449E844" w14:textId="77777777" w:rsidTr="009A35DA">
        <w:trPr>
          <w:trHeight w:val="150"/>
        </w:trPr>
        <w:tc>
          <w:tcPr>
            <w:tcW w:w="1305" w:type="dxa"/>
            <w:tcBorders>
              <w:top w:val="nil"/>
              <w:left w:val="single" w:sz="4" w:space="0" w:color="auto"/>
              <w:bottom w:val="nil"/>
              <w:right w:val="nil"/>
            </w:tcBorders>
            <w:shd w:val="clear" w:color="000000" w:fill="808080"/>
            <w:noWrap/>
            <w:vAlign w:val="center"/>
            <w:hideMark/>
          </w:tcPr>
          <w:p w14:paraId="5B6CE225"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 </w:t>
            </w:r>
          </w:p>
        </w:tc>
        <w:tc>
          <w:tcPr>
            <w:tcW w:w="8214" w:type="dxa"/>
            <w:tcBorders>
              <w:top w:val="nil"/>
              <w:left w:val="nil"/>
              <w:bottom w:val="nil"/>
              <w:right w:val="single" w:sz="4" w:space="0" w:color="auto"/>
            </w:tcBorders>
            <w:shd w:val="clear" w:color="000000" w:fill="808080"/>
            <w:vAlign w:val="center"/>
            <w:hideMark/>
          </w:tcPr>
          <w:p w14:paraId="7B2C79CF"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 </w:t>
            </w:r>
          </w:p>
        </w:tc>
      </w:tr>
      <w:tr w:rsidR="00742B40" w:rsidRPr="00EA3D33" w14:paraId="6E4A104D" w14:textId="77777777" w:rsidTr="009A35DA">
        <w:trPr>
          <w:trHeight w:val="60"/>
        </w:trPr>
        <w:tc>
          <w:tcPr>
            <w:tcW w:w="1305"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52607276" w14:textId="77777777" w:rsidR="00742B40" w:rsidRPr="00EA3D33" w:rsidRDefault="00742B40" w:rsidP="009A35DA">
            <w:pPr>
              <w:spacing w:after="0" w:line="276" w:lineRule="auto"/>
              <w:jc w:val="center"/>
              <w:rPr>
                <w:rFonts w:ascii="Calibri" w:hAnsi="Calibri"/>
                <w:b/>
                <w:bCs/>
                <w:color w:val="FFFFFF"/>
                <w:szCs w:val="18"/>
              </w:rPr>
            </w:pPr>
            <w:r w:rsidRPr="00EA3D33">
              <w:rPr>
                <w:rFonts w:ascii="Calibri" w:hAnsi="Calibri"/>
                <w:b/>
                <w:bCs/>
                <w:color w:val="FFFFFF"/>
                <w:szCs w:val="18"/>
              </w:rPr>
              <w:t>Delivering Quality</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5913F926"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identify opportunities and take action to be simply better</w:t>
            </w:r>
          </w:p>
        </w:tc>
      </w:tr>
      <w:tr w:rsidR="00742B40" w:rsidRPr="00EA3D33" w14:paraId="436F8112" w14:textId="77777777" w:rsidTr="009A35DA">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2A605096"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4C0052A6"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plan and prioritise efficiently and effectively, taking account of people, processes and resources</w:t>
            </w:r>
          </w:p>
        </w:tc>
      </w:tr>
      <w:tr w:rsidR="00742B40" w:rsidRPr="00EA3D33" w14:paraId="65DDE002" w14:textId="77777777" w:rsidTr="009A35DA">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27B7766B"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4446A968"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am accountable, for tackling issues, making difficult decisions and seeing them through to conclusion</w:t>
            </w:r>
          </w:p>
        </w:tc>
      </w:tr>
      <w:tr w:rsidR="00742B40" w:rsidRPr="00EA3D33" w14:paraId="49FB3987" w14:textId="77777777" w:rsidTr="009A35DA">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0BE795C8"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8" w:space="0" w:color="auto"/>
              <w:right w:val="single" w:sz="4" w:space="0" w:color="auto"/>
            </w:tcBorders>
            <w:shd w:val="clear" w:color="auto" w:fill="auto"/>
            <w:vAlign w:val="center"/>
            <w:hideMark/>
          </w:tcPr>
          <w:p w14:paraId="4E69C018"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encourage creativity and innovation to deliver workable solutions</w:t>
            </w:r>
          </w:p>
        </w:tc>
      </w:tr>
      <w:tr w:rsidR="00742B40" w:rsidRPr="00EA3D33" w14:paraId="1A2B1341" w14:textId="77777777" w:rsidTr="009A35DA">
        <w:trPr>
          <w:trHeight w:val="150"/>
        </w:trPr>
        <w:tc>
          <w:tcPr>
            <w:tcW w:w="1305" w:type="dxa"/>
            <w:tcBorders>
              <w:top w:val="nil"/>
              <w:left w:val="single" w:sz="4" w:space="0" w:color="auto"/>
              <w:bottom w:val="nil"/>
              <w:right w:val="nil"/>
            </w:tcBorders>
            <w:shd w:val="clear" w:color="000000" w:fill="808080"/>
            <w:noWrap/>
            <w:vAlign w:val="center"/>
            <w:hideMark/>
          </w:tcPr>
          <w:p w14:paraId="45DABD98"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 </w:t>
            </w:r>
          </w:p>
        </w:tc>
        <w:tc>
          <w:tcPr>
            <w:tcW w:w="8214" w:type="dxa"/>
            <w:tcBorders>
              <w:top w:val="nil"/>
              <w:left w:val="nil"/>
              <w:bottom w:val="nil"/>
              <w:right w:val="single" w:sz="4" w:space="0" w:color="auto"/>
            </w:tcBorders>
            <w:shd w:val="clear" w:color="000000" w:fill="808080"/>
            <w:vAlign w:val="center"/>
            <w:hideMark/>
          </w:tcPr>
          <w:p w14:paraId="73A849FB"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 </w:t>
            </w:r>
          </w:p>
        </w:tc>
      </w:tr>
      <w:tr w:rsidR="00742B40" w:rsidRPr="00EA3D33" w14:paraId="5B8A6077" w14:textId="77777777" w:rsidTr="009A35DA">
        <w:trPr>
          <w:trHeight w:val="60"/>
        </w:trPr>
        <w:tc>
          <w:tcPr>
            <w:tcW w:w="1305"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018E5BD7" w14:textId="77777777" w:rsidR="00742B40" w:rsidRPr="00EA3D33" w:rsidRDefault="00742B40" w:rsidP="009A35DA">
            <w:pPr>
              <w:spacing w:after="0" w:line="276" w:lineRule="auto"/>
              <w:jc w:val="center"/>
              <w:rPr>
                <w:rFonts w:ascii="Calibri" w:hAnsi="Calibri"/>
                <w:b/>
                <w:bCs/>
                <w:color w:val="FFFFFF"/>
                <w:szCs w:val="18"/>
              </w:rPr>
            </w:pPr>
            <w:r w:rsidRPr="00EA3D33">
              <w:rPr>
                <w:rFonts w:ascii="Calibri" w:hAnsi="Calibri"/>
                <w:b/>
                <w:bCs/>
                <w:color w:val="FFFFFF"/>
                <w:szCs w:val="18"/>
              </w:rPr>
              <w:t>Driving Sustainability</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4D65F58F"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consider the impact on people before taking decisions or actions that may affect them</w:t>
            </w:r>
          </w:p>
        </w:tc>
      </w:tr>
      <w:tr w:rsidR="00742B40" w:rsidRPr="00EA3D33" w14:paraId="1984C0E5" w14:textId="77777777" w:rsidTr="009A35DA">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66A3A1A6"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2E7D5724"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 xml:space="preserve">I embrace, enable and embed change effectively </w:t>
            </w:r>
          </w:p>
        </w:tc>
      </w:tr>
      <w:tr w:rsidR="00742B40" w:rsidRPr="00EA3D33" w14:paraId="73257177" w14:textId="77777777" w:rsidTr="009A35DA">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14E8C93E"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417CFDE7"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regularly take account of external and internal factors, assessing the need to change and gaining support to move forward</w:t>
            </w:r>
          </w:p>
        </w:tc>
      </w:tr>
      <w:tr w:rsidR="00742B40" w:rsidRPr="00EA3D33" w14:paraId="00E26C8E" w14:textId="77777777" w:rsidTr="009A35DA">
        <w:trPr>
          <w:trHeight w:val="60"/>
        </w:trPr>
        <w:tc>
          <w:tcPr>
            <w:tcW w:w="1305" w:type="dxa"/>
            <w:vMerge/>
            <w:tcBorders>
              <w:top w:val="single" w:sz="8" w:space="0" w:color="auto"/>
              <w:left w:val="single" w:sz="4" w:space="0" w:color="auto"/>
              <w:bottom w:val="single" w:sz="4" w:space="0" w:color="auto"/>
              <w:right w:val="single" w:sz="8" w:space="0" w:color="auto"/>
            </w:tcBorders>
            <w:vAlign w:val="center"/>
            <w:hideMark/>
          </w:tcPr>
          <w:p w14:paraId="7E7EC74E" w14:textId="77777777" w:rsidR="00742B40" w:rsidRPr="00EA3D33" w:rsidRDefault="00742B40" w:rsidP="009A35DA">
            <w:pPr>
              <w:spacing w:after="0" w:line="276" w:lineRule="auto"/>
              <w:rPr>
                <w:rFonts w:ascii="Calibri" w:hAnsi="Calibri"/>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60B0FCE3" w14:textId="77777777" w:rsidR="00742B40" w:rsidRPr="00EA3D33" w:rsidRDefault="00742B40" w:rsidP="009A35DA">
            <w:pPr>
              <w:spacing w:after="0" w:line="276" w:lineRule="auto"/>
              <w:rPr>
                <w:rFonts w:ascii="Calibri" w:hAnsi="Calibri"/>
                <w:color w:val="000000"/>
                <w:szCs w:val="18"/>
              </w:rPr>
            </w:pPr>
            <w:r w:rsidRPr="00EA3D33">
              <w:rPr>
                <w:rFonts w:ascii="Calibri" w:hAnsi="Calibri"/>
                <w:color w:val="000000"/>
                <w:szCs w:val="18"/>
              </w:rPr>
              <w:t>I take time to understand our University vision and direction and communicate this to others</w:t>
            </w:r>
          </w:p>
        </w:tc>
      </w:tr>
    </w:tbl>
    <w:p w14:paraId="096B4022" w14:textId="77777777" w:rsidR="00742B40" w:rsidRPr="007A34E3" w:rsidRDefault="00742B40" w:rsidP="00742B40">
      <w:pPr>
        <w:rPr>
          <w:szCs w:val="18"/>
        </w:rPr>
      </w:pPr>
    </w:p>
    <w:p w14:paraId="728802D6" w14:textId="77777777" w:rsidR="00742B40" w:rsidRDefault="00742B40" w:rsidP="00742B40">
      <w:pPr>
        <w:pStyle w:val="DocTitle"/>
        <w:spacing w:after="240"/>
        <w:rPr>
          <w:sz w:val="52"/>
          <w:szCs w:val="52"/>
        </w:rPr>
      </w:pPr>
      <w:r w:rsidRPr="00137D43">
        <w:rPr>
          <w:sz w:val="52"/>
          <w:szCs w:val="52"/>
        </w:rPr>
        <w:t>Line Manager Expectations</w:t>
      </w:r>
    </w:p>
    <w:p w14:paraId="66E1B0B5" w14:textId="77777777" w:rsidR="00742B40" w:rsidRPr="00137D43" w:rsidRDefault="00742B40" w:rsidP="00742B40">
      <w:pPr>
        <w:spacing w:after="240"/>
      </w:pPr>
      <w:r w:rsidRPr="00137D43">
        <w:t>The statements below provide additional clarity on what is expected of our line managers and supervisors.</w:t>
      </w:r>
    </w:p>
    <w:p w14:paraId="7B44F3A1" w14:textId="77777777" w:rsidR="00742B40" w:rsidRPr="00637E89" w:rsidRDefault="00742B40" w:rsidP="00742B40">
      <w:pPr>
        <w:spacing w:after="240"/>
      </w:pPr>
      <w:r w:rsidRPr="00137D43">
        <w:rPr>
          <w:b/>
        </w:rPr>
        <w:t>Managing People:</w:t>
      </w:r>
      <w:r w:rsidRPr="00637E89">
        <w:t xml:space="preserve"> Manage and support your peoples work productivity, performance, wellbeing and development to maximise their contribution and enable personal growth.</w:t>
      </w:r>
    </w:p>
    <w:p w14:paraId="1F436C90" w14:textId="77777777" w:rsidR="00742B40" w:rsidRPr="00637E89" w:rsidRDefault="00742B40" w:rsidP="00742B40">
      <w:pPr>
        <w:spacing w:after="240"/>
      </w:pPr>
      <w:r w:rsidRPr="00137D43">
        <w:rPr>
          <w:b/>
        </w:rPr>
        <w:t>Managing the Student and Customer Experience:</w:t>
      </w:r>
      <w:r w:rsidRPr="00637E89">
        <w:t xml:space="preserve"> Ensuring our students and the customer are at the centre of everything we do, always considering their needs before acting, to ensure we deliver a high-quality experience every time.</w:t>
      </w:r>
    </w:p>
    <w:p w14:paraId="78A89A90" w14:textId="77777777" w:rsidR="00742B40" w:rsidRPr="00637E89" w:rsidRDefault="00742B40" w:rsidP="00742B40">
      <w:pPr>
        <w:spacing w:after="240"/>
      </w:pPr>
      <w:r w:rsidRPr="00137D43">
        <w:rPr>
          <w:b/>
        </w:rPr>
        <w:t>Managing Financial Decisions:</w:t>
      </w:r>
      <w:r w:rsidRPr="00637E89">
        <w:t xml:space="preserve"> Make well informed and timely financial decisions with an understanding of the consequences and impact on the financial sustainability of the University.</w:t>
      </w:r>
    </w:p>
    <w:p w14:paraId="773E86BD" w14:textId="77777777" w:rsidR="00742B40" w:rsidRPr="00637E89" w:rsidRDefault="00742B40" w:rsidP="00742B40">
      <w:pPr>
        <w:spacing w:after="240"/>
      </w:pPr>
      <w:r w:rsidRPr="00137D43">
        <w:rPr>
          <w:b/>
        </w:rPr>
        <w:lastRenderedPageBreak/>
        <w:t>Managing Compliance:</w:t>
      </w:r>
      <w:r w:rsidRPr="00637E89">
        <w:t xml:space="preserve"> Understand and apply the University regulations, policies, guidelines, and legal requirements to ensure continued operational compliance.</w:t>
      </w:r>
    </w:p>
    <w:p w14:paraId="34C3E763" w14:textId="77777777" w:rsidR="00742B40" w:rsidRDefault="00742B40" w:rsidP="00742B40">
      <w:pPr>
        <w:spacing w:after="240"/>
        <w:rPr>
          <w:b/>
        </w:rPr>
      </w:pPr>
      <w:r w:rsidRPr="00137D43">
        <w:rPr>
          <w:b/>
        </w:rPr>
        <w:t>Managing Risk:</w:t>
      </w:r>
      <w:r w:rsidRPr="00637E89">
        <w:t xml:space="preserve"> Identify potential risks, assess probability and impact and take appropriate steps to mitigate the risk </w:t>
      </w:r>
      <w:r>
        <w:t>or maximise potential benefits.</w:t>
      </w:r>
    </w:p>
    <w:p w14:paraId="5A909C00" w14:textId="77777777" w:rsidR="00742B40" w:rsidRPr="0012209D" w:rsidRDefault="00742B40" w:rsidP="00742B40"/>
    <w:p w14:paraId="78BDA06F" w14:textId="77777777" w:rsidR="00742B40" w:rsidRPr="0012209D" w:rsidRDefault="00742B40" w:rsidP="00742B40"/>
    <w:p w14:paraId="613CA61F" w14:textId="77777777" w:rsidR="00742B40" w:rsidRDefault="00742B40" w:rsidP="0012209D"/>
    <w:p w14:paraId="12E5A7D0" w14:textId="77777777" w:rsidR="00742B40" w:rsidRPr="0012209D" w:rsidRDefault="00742B40" w:rsidP="0012209D"/>
    <w:sectPr w:rsidR="00742B4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E65BB" w14:textId="77777777" w:rsidR="00AD1274" w:rsidRDefault="00AD1274">
      <w:r>
        <w:separator/>
      </w:r>
    </w:p>
    <w:p w14:paraId="37B199C4" w14:textId="77777777" w:rsidR="00AD1274" w:rsidRDefault="00AD1274"/>
  </w:endnote>
  <w:endnote w:type="continuationSeparator" w:id="0">
    <w:p w14:paraId="3ADD0937" w14:textId="77777777" w:rsidR="00AD1274" w:rsidRDefault="00AD1274">
      <w:r>
        <w:continuationSeparator/>
      </w:r>
    </w:p>
    <w:p w14:paraId="4CB757CD" w14:textId="77777777" w:rsidR="00AD1274" w:rsidRDefault="00AD1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mbria"/>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682AC6A6" w:rsidR="00062768" w:rsidRDefault="00E264FD" w:rsidP="00FE47BF">
    <w:pPr>
      <w:pStyle w:val="ContinuationFooter"/>
    </w:pPr>
    <w:fldSimple w:instr=" FILENAME   \* MERGEFORMAT ">
      <w:r>
        <w:t>Template</w:t>
      </w:r>
      <w:r w:rsidR="00746AEB">
        <w:t xml:space="preserve"> Job Description</w:t>
      </w:r>
      <w:r>
        <w:t xml:space="preserve"> - </w:t>
      </w:r>
    </w:fldSimple>
    <w:r w:rsidR="00467596">
      <w:t>MSA</w:t>
    </w:r>
    <w:r w:rsidR="00746AEB">
      <w:t xml:space="preserve"> Level </w:t>
    </w:r>
    <w:r w:rsidR="0065560D">
      <w:t>6</w:t>
    </w:r>
    <w:r w:rsidR="00CB1F23">
      <w:ptab w:relativeTo="margin" w:alignment="right" w:leader="none"/>
    </w:r>
    <w:r w:rsidR="00CB1F23">
      <w:fldChar w:fldCharType="begin"/>
    </w:r>
    <w:r w:rsidR="00CB1F23">
      <w:instrText xml:space="preserve"> PAGE   \* MERGEFORMAT </w:instrText>
    </w:r>
    <w:r w:rsidR="00CB1F23">
      <w:fldChar w:fldCharType="separate"/>
    </w:r>
    <w:r w:rsidR="00C12F81">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CB26" w14:textId="77777777" w:rsidR="00AD1274" w:rsidRDefault="00AD1274">
      <w:r>
        <w:separator/>
      </w:r>
    </w:p>
    <w:p w14:paraId="5E39276D" w14:textId="77777777" w:rsidR="00AD1274" w:rsidRDefault="00AD1274"/>
  </w:footnote>
  <w:footnote w:type="continuationSeparator" w:id="0">
    <w:p w14:paraId="11C090D1" w14:textId="77777777" w:rsidR="00AD1274" w:rsidRDefault="00AD1274">
      <w:r>
        <w:continuationSeparator/>
      </w:r>
    </w:p>
    <w:p w14:paraId="23805986" w14:textId="77777777" w:rsidR="00AD1274" w:rsidRDefault="00AD1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00C12F81">
      <w:trPr>
        <w:trHeight w:hRule="exact" w:val="84"/>
      </w:trPr>
      <w:tc>
        <w:tcPr>
          <w:tcW w:w="9650" w:type="dxa"/>
        </w:tcPr>
        <w:p w14:paraId="15BF0980" w14:textId="77777777" w:rsidR="00062768" w:rsidRDefault="00062768" w:rsidP="0029789A">
          <w:pPr>
            <w:pStyle w:val="Header"/>
          </w:pPr>
        </w:p>
      </w:tc>
    </w:tr>
    <w:tr w:rsidR="00062768" w14:paraId="15BF0983" w14:textId="77777777" w:rsidTr="00C12F81">
      <w:trPr>
        <w:trHeight w:val="441"/>
      </w:trPr>
      <w:tc>
        <w:tcPr>
          <w:tcW w:w="9650" w:type="dxa"/>
        </w:tcPr>
        <w:p w14:paraId="15BF0982" w14:textId="69B70FD7" w:rsidR="00062768" w:rsidRDefault="00062768" w:rsidP="0029789A">
          <w:pPr>
            <w:pStyle w:val="Header"/>
            <w:jc w:val="right"/>
          </w:pPr>
        </w:p>
      </w:tc>
    </w:tr>
  </w:tbl>
  <w:p w14:paraId="15BF0985" w14:textId="3509444C" w:rsidR="0005274A" w:rsidRPr="0005274A" w:rsidRDefault="00F84583" w:rsidP="00C12F8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BEE69D1"/>
    <w:multiLevelType w:val="hybridMultilevel"/>
    <w:tmpl w:val="3AD8D882"/>
    <w:lvl w:ilvl="0" w:tplc="4FACD3DC">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9" w15:restartNumberingAfterBreak="0">
    <w:nsid w:val="7FB93E18"/>
    <w:multiLevelType w:val="hybridMultilevel"/>
    <w:tmpl w:val="AEAEE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79758906">
    <w:abstractNumId w:val="18"/>
  </w:num>
  <w:num w:numId="2" w16cid:durableId="1370834415">
    <w:abstractNumId w:val="0"/>
  </w:num>
  <w:num w:numId="3" w16cid:durableId="698701434">
    <w:abstractNumId w:val="13"/>
  </w:num>
  <w:num w:numId="4" w16cid:durableId="905604918">
    <w:abstractNumId w:val="9"/>
  </w:num>
  <w:num w:numId="5" w16cid:durableId="1495102330">
    <w:abstractNumId w:val="10"/>
  </w:num>
  <w:num w:numId="6" w16cid:durableId="1822578582">
    <w:abstractNumId w:val="7"/>
  </w:num>
  <w:num w:numId="7" w16cid:durableId="1071536255">
    <w:abstractNumId w:val="3"/>
  </w:num>
  <w:num w:numId="8" w16cid:durableId="1936593883">
    <w:abstractNumId w:val="5"/>
  </w:num>
  <w:num w:numId="9" w16cid:durableId="18242604">
    <w:abstractNumId w:val="1"/>
  </w:num>
  <w:num w:numId="10" w16cid:durableId="101145108">
    <w:abstractNumId w:val="8"/>
  </w:num>
  <w:num w:numId="11" w16cid:durableId="1815103137">
    <w:abstractNumId w:val="4"/>
  </w:num>
  <w:num w:numId="12" w16cid:durableId="543298003">
    <w:abstractNumId w:val="14"/>
  </w:num>
  <w:num w:numId="13" w16cid:durableId="380910165">
    <w:abstractNumId w:val="15"/>
  </w:num>
  <w:num w:numId="14" w16cid:durableId="698824447">
    <w:abstractNumId w:val="6"/>
  </w:num>
  <w:num w:numId="15" w16cid:durableId="256066177">
    <w:abstractNumId w:val="2"/>
  </w:num>
  <w:num w:numId="16" w16cid:durableId="1492059775">
    <w:abstractNumId w:val="11"/>
  </w:num>
  <w:num w:numId="17" w16cid:durableId="1522670318">
    <w:abstractNumId w:val="12"/>
  </w:num>
  <w:num w:numId="18" w16cid:durableId="2030445965">
    <w:abstractNumId w:val="17"/>
  </w:num>
  <w:num w:numId="19" w16cid:durableId="590164315">
    <w:abstractNumId w:val="16"/>
  </w:num>
  <w:num w:numId="20" w16cid:durableId="135426498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54D1A"/>
    <w:rsid w:val="00054F69"/>
    <w:rsid w:val="00057DE4"/>
    <w:rsid w:val="00062768"/>
    <w:rsid w:val="00063081"/>
    <w:rsid w:val="00071653"/>
    <w:rsid w:val="000824F4"/>
    <w:rsid w:val="00094D9C"/>
    <w:rsid w:val="000978E8"/>
    <w:rsid w:val="000A09B2"/>
    <w:rsid w:val="000A72A1"/>
    <w:rsid w:val="000B1DED"/>
    <w:rsid w:val="000B4E5A"/>
    <w:rsid w:val="000C4B47"/>
    <w:rsid w:val="000F59CB"/>
    <w:rsid w:val="000F7DEC"/>
    <w:rsid w:val="00102BCB"/>
    <w:rsid w:val="00110D93"/>
    <w:rsid w:val="0012209D"/>
    <w:rsid w:val="0013348B"/>
    <w:rsid w:val="001349EC"/>
    <w:rsid w:val="001532E2"/>
    <w:rsid w:val="00156CBF"/>
    <w:rsid w:val="00156F2F"/>
    <w:rsid w:val="00160A84"/>
    <w:rsid w:val="00175690"/>
    <w:rsid w:val="0018144C"/>
    <w:rsid w:val="0018260F"/>
    <w:rsid w:val="001840EA"/>
    <w:rsid w:val="00191436"/>
    <w:rsid w:val="00191ACA"/>
    <w:rsid w:val="001B6986"/>
    <w:rsid w:val="001C4654"/>
    <w:rsid w:val="001C5C5C"/>
    <w:rsid w:val="001D0B37"/>
    <w:rsid w:val="001D5201"/>
    <w:rsid w:val="001D6418"/>
    <w:rsid w:val="001E24BE"/>
    <w:rsid w:val="00205458"/>
    <w:rsid w:val="00217A4E"/>
    <w:rsid w:val="002336BF"/>
    <w:rsid w:val="00234636"/>
    <w:rsid w:val="00236BFE"/>
    <w:rsid w:val="00241441"/>
    <w:rsid w:val="00243A2A"/>
    <w:rsid w:val="0024539C"/>
    <w:rsid w:val="00254722"/>
    <w:rsid w:val="002547F5"/>
    <w:rsid w:val="00260333"/>
    <w:rsid w:val="00260B1D"/>
    <w:rsid w:val="00266C6A"/>
    <w:rsid w:val="00271088"/>
    <w:rsid w:val="002759F8"/>
    <w:rsid w:val="0028509A"/>
    <w:rsid w:val="002872A4"/>
    <w:rsid w:val="00287575"/>
    <w:rsid w:val="0029789A"/>
    <w:rsid w:val="002A2AA9"/>
    <w:rsid w:val="002A70BE"/>
    <w:rsid w:val="002B7759"/>
    <w:rsid w:val="002C51C3"/>
    <w:rsid w:val="002C6198"/>
    <w:rsid w:val="002D1A1E"/>
    <w:rsid w:val="002D4DF4"/>
    <w:rsid w:val="002E7C28"/>
    <w:rsid w:val="002E7EFB"/>
    <w:rsid w:val="00312C9E"/>
    <w:rsid w:val="00313CC8"/>
    <w:rsid w:val="003178D9"/>
    <w:rsid w:val="00323B91"/>
    <w:rsid w:val="0034151E"/>
    <w:rsid w:val="00343D93"/>
    <w:rsid w:val="00364B2C"/>
    <w:rsid w:val="003701F7"/>
    <w:rsid w:val="00385622"/>
    <w:rsid w:val="003A2001"/>
    <w:rsid w:val="003A7E96"/>
    <w:rsid w:val="003B0262"/>
    <w:rsid w:val="003B7540"/>
    <w:rsid w:val="003D5280"/>
    <w:rsid w:val="003E22D9"/>
    <w:rsid w:val="004022C1"/>
    <w:rsid w:val="004122EC"/>
    <w:rsid w:val="004263FE"/>
    <w:rsid w:val="0046180E"/>
    <w:rsid w:val="00463797"/>
    <w:rsid w:val="00467596"/>
    <w:rsid w:val="00474D00"/>
    <w:rsid w:val="0047654F"/>
    <w:rsid w:val="00490B90"/>
    <w:rsid w:val="0049430A"/>
    <w:rsid w:val="004B2A50"/>
    <w:rsid w:val="004B2A9D"/>
    <w:rsid w:val="004C0252"/>
    <w:rsid w:val="004D4966"/>
    <w:rsid w:val="004F67BC"/>
    <w:rsid w:val="00512863"/>
    <w:rsid w:val="0051744C"/>
    <w:rsid w:val="0051791B"/>
    <w:rsid w:val="00524005"/>
    <w:rsid w:val="00525C5B"/>
    <w:rsid w:val="00526C0F"/>
    <w:rsid w:val="0053518E"/>
    <w:rsid w:val="00541CE0"/>
    <w:rsid w:val="00546078"/>
    <w:rsid w:val="005534E1"/>
    <w:rsid w:val="00553893"/>
    <w:rsid w:val="00553B6E"/>
    <w:rsid w:val="00573487"/>
    <w:rsid w:val="00573E56"/>
    <w:rsid w:val="00580CBF"/>
    <w:rsid w:val="005827C4"/>
    <w:rsid w:val="00584306"/>
    <w:rsid w:val="005907B3"/>
    <w:rsid w:val="005949FA"/>
    <w:rsid w:val="005C137F"/>
    <w:rsid w:val="005D0265"/>
    <w:rsid w:val="005D3265"/>
    <w:rsid w:val="005D44D1"/>
    <w:rsid w:val="005D6530"/>
    <w:rsid w:val="00601F61"/>
    <w:rsid w:val="00617FAD"/>
    <w:rsid w:val="006211B2"/>
    <w:rsid w:val="006249FD"/>
    <w:rsid w:val="006379D1"/>
    <w:rsid w:val="00641EC1"/>
    <w:rsid w:val="006436A1"/>
    <w:rsid w:val="00651280"/>
    <w:rsid w:val="006546B7"/>
    <w:rsid w:val="0065560D"/>
    <w:rsid w:val="00671F76"/>
    <w:rsid w:val="00680547"/>
    <w:rsid w:val="00682BF4"/>
    <w:rsid w:val="00695D76"/>
    <w:rsid w:val="006B0952"/>
    <w:rsid w:val="006B1AF6"/>
    <w:rsid w:val="006D6978"/>
    <w:rsid w:val="006E05EC"/>
    <w:rsid w:val="006F1EE5"/>
    <w:rsid w:val="006F44EB"/>
    <w:rsid w:val="00702D64"/>
    <w:rsid w:val="0070376B"/>
    <w:rsid w:val="0070408B"/>
    <w:rsid w:val="007151A9"/>
    <w:rsid w:val="0072294F"/>
    <w:rsid w:val="00742B40"/>
    <w:rsid w:val="0074500B"/>
    <w:rsid w:val="00745B79"/>
    <w:rsid w:val="00746AEB"/>
    <w:rsid w:val="007556C9"/>
    <w:rsid w:val="0076000D"/>
    <w:rsid w:val="00761108"/>
    <w:rsid w:val="00761EC3"/>
    <w:rsid w:val="00765EB4"/>
    <w:rsid w:val="00791076"/>
    <w:rsid w:val="0079197B"/>
    <w:rsid w:val="00791A2A"/>
    <w:rsid w:val="007B12F6"/>
    <w:rsid w:val="007B183A"/>
    <w:rsid w:val="007B3551"/>
    <w:rsid w:val="007C22CC"/>
    <w:rsid w:val="007C6FAA"/>
    <w:rsid w:val="007E2D19"/>
    <w:rsid w:val="007E776C"/>
    <w:rsid w:val="007F25B2"/>
    <w:rsid w:val="007F2874"/>
    <w:rsid w:val="007F2AEA"/>
    <w:rsid w:val="00813365"/>
    <w:rsid w:val="00813A2C"/>
    <w:rsid w:val="00816EEA"/>
    <w:rsid w:val="00817BB1"/>
    <w:rsid w:val="0082020C"/>
    <w:rsid w:val="0082075E"/>
    <w:rsid w:val="008236B4"/>
    <w:rsid w:val="008304E4"/>
    <w:rsid w:val="008409B5"/>
    <w:rsid w:val="008443D8"/>
    <w:rsid w:val="00854B1E"/>
    <w:rsid w:val="00856B8A"/>
    <w:rsid w:val="00876272"/>
    <w:rsid w:val="00883499"/>
    <w:rsid w:val="00885FD1"/>
    <w:rsid w:val="008937C9"/>
    <w:rsid w:val="008961F9"/>
    <w:rsid w:val="008D52C9"/>
    <w:rsid w:val="008E4A7D"/>
    <w:rsid w:val="008F03C7"/>
    <w:rsid w:val="008F4A01"/>
    <w:rsid w:val="009064A9"/>
    <w:rsid w:val="00913711"/>
    <w:rsid w:val="009220E5"/>
    <w:rsid w:val="009419A4"/>
    <w:rsid w:val="00945F4B"/>
    <w:rsid w:val="009464AF"/>
    <w:rsid w:val="009477CD"/>
    <w:rsid w:val="00947F98"/>
    <w:rsid w:val="00954E47"/>
    <w:rsid w:val="009558B2"/>
    <w:rsid w:val="00964E1C"/>
    <w:rsid w:val="00965BFB"/>
    <w:rsid w:val="00967DA7"/>
    <w:rsid w:val="00970E28"/>
    <w:rsid w:val="00973BF1"/>
    <w:rsid w:val="0098120F"/>
    <w:rsid w:val="00982380"/>
    <w:rsid w:val="00984565"/>
    <w:rsid w:val="00984D52"/>
    <w:rsid w:val="00996476"/>
    <w:rsid w:val="00A021B7"/>
    <w:rsid w:val="00A1166B"/>
    <w:rsid w:val="00A131D9"/>
    <w:rsid w:val="00A14888"/>
    <w:rsid w:val="00A23226"/>
    <w:rsid w:val="00A34296"/>
    <w:rsid w:val="00A521A9"/>
    <w:rsid w:val="00A71D55"/>
    <w:rsid w:val="00A7244A"/>
    <w:rsid w:val="00A830D4"/>
    <w:rsid w:val="00A867C0"/>
    <w:rsid w:val="00A925C0"/>
    <w:rsid w:val="00A963D3"/>
    <w:rsid w:val="00AA27FA"/>
    <w:rsid w:val="00AA3CB5"/>
    <w:rsid w:val="00AB3121"/>
    <w:rsid w:val="00AB4C08"/>
    <w:rsid w:val="00AC2B17"/>
    <w:rsid w:val="00AC45EB"/>
    <w:rsid w:val="00AD1274"/>
    <w:rsid w:val="00AE0C88"/>
    <w:rsid w:val="00AE1CA0"/>
    <w:rsid w:val="00AE39DC"/>
    <w:rsid w:val="00AE4DC4"/>
    <w:rsid w:val="00B005CD"/>
    <w:rsid w:val="00B02F38"/>
    <w:rsid w:val="00B430BB"/>
    <w:rsid w:val="00B60598"/>
    <w:rsid w:val="00B831D5"/>
    <w:rsid w:val="00B84C12"/>
    <w:rsid w:val="00B948A8"/>
    <w:rsid w:val="00B970E0"/>
    <w:rsid w:val="00BB4A42"/>
    <w:rsid w:val="00BB7845"/>
    <w:rsid w:val="00BE6078"/>
    <w:rsid w:val="00BF10F5"/>
    <w:rsid w:val="00BF1CC6"/>
    <w:rsid w:val="00C12F81"/>
    <w:rsid w:val="00C15534"/>
    <w:rsid w:val="00C22A0F"/>
    <w:rsid w:val="00C31B06"/>
    <w:rsid w:val="00C3773A"/>
    <w:rsid w:val="00C43280"/>
    <w:rsid w:val="00C77277"/>
    <w:rsid w:val="00C82FBA"/>
    <w:rsid w:val="00C83F50"/>
    <w:rsid w:val="00C907D0"/>
    <w:rsid w:val="00CB1F23"/>
    <w:rsid w:val="00CD04F0"/>
    <w:rsid w:val="00CD159C"/>
    <w:rsid w:val="00CE3A26"/>
    <w:rsid w:val="00CE65C3"/>
    <w:rsid w:val="00D1631F"/>
    <w:rsid w:val="00D16D9D"/>
    <w:rsid w:val="00D3349E"/>
    <w:rsid w:val="00D407D7"/>
    <w:rsid w:val="00D50678"/>
    <w:rsid w:val="00D54AA2"/>
    <w:rsid w:val="00D55315"/>
    <w:rsid w:val="00D5587F"/>
    <w:rsid w:val="00D61359"/>
    <w:rsid w:val="00D65B56"/>
    <w:rsid w:val="00D67D41"/>
    <w:rsid w:val="00D71C9B"/>
    <w:rsid w:val="00D73BB9"/>
    <w:rsid w:val="00D9333F"/>
    <w:rsid w:val="00DA4F4B"/>
    <w:rsid w:val="00DB1ABE"/>
    <w:rsid w:val="00DC1CE3"/>
    <w:rsid w:val="00DC4386"/>
    <w:rsid w:val="00DE553C"/>
    <w:rsid w:val="00DE680D"/>
    <w:rsid w:val="00DF227E"/>
    <w:rsid w:val="00DF63BB"/>
    <w:rsid w:val="00E01106"/>
    <w:rsid w:val="00E03B34"/>
    <w:rsid w:val="00E15D47"/>
    <w:rsid w:val="00E23A19"/>
    <w:rsid w:val="00E24B01"/>
    <w:rsid w:val="00E25775"/>
    <w:rsid w:val="00E264FD"/>
    <w:rsid w:val="00E36187"/>
    <w:rsid w:val="00E363B8"/>
    <w:rsid w:val="00E37792"/>
    <w:rsid w:val="00E63AC1"/>
    <w:rsid w:val="00E73FB8"/>
    <w:rsid w:val="00E74147"/>
    <w:rsid w:val="00E96015"/>
    <w:rsid w:val="00EA306A"/>
    <w:rsid w:val="00EB589D"/>
    <w:rsid w:val="00EC5701"/>
    <w:rsid w:val="00ED2E52"/>
    <w:rsid w:val="00EE13FB"/>
    <w:rsid w:val="00EE350A"/>
    <w:rsid w:val="00F01EA0"/>
    <w:rsid w:val="00F135E0"/>
    <w:rsid w:val="00F22914"/>
    <w:rsid w:val="00F33234"/>
    <w:rsid w:val="00F378D2"/>
    <w:rsid w:val="00F678CD"/>
    <w:rsid w:val="00F83A3C"/>
    <w:rsid w:val="00F84583"/>
    <w:rsid w:val="00F85DED"/>
    <w:rsid w:val="00F85ED5"/>
    <w:rsid w:val="00F90F90"/>
    <w:rsid w:val="00F91792"/>
    <w:rsid w:val="00FA4C4E"/>
    <w:rsid w:val="00FB7297"/>
    <w:rsid w:val="00FC2ADA"/>
    <w:rsid w:val="00FD0D5A"/>
    <w:rsid w:val="00FE2431"/>
    <w:rsid w:val="00FE47BF"/>
    <w:rsid w:val="00FF140B"/>
    <w:rsid w:val="00FF246F"/>
    <w:rsid w:val="00FF4A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E74147"/>
  </w:style>
  <w:style w:type="character" w:customStyle="1" w:styleId="eop">
    <w:name w:val="eop"/>
    <w:basedOn w:val="DefaultParagraphFont"/>
    <w:rsid w:val="00E74147"/>
  </w:style>
  <w:style w:type="paragraph" w:styleId="Revision">
    <w:name w:val="Revision"/>
    <w:hidden/>
    <w:uiPriority w:val="99"/>
    <w:semiHidden/>
    <w:rsid w:val="00742B40"/>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2268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2.xml><?xml version="1.0" encoding="utf-8"?>
<ds:datastoreItem xmlns:ds="http://schemas.openxmlformats.org/officeDocument/2006/customXml" ds:itemID="{46459888-B3D1-40F5-8AD3-87AD430DDE4A}">
  <ds:schemaRefs>
    <ds:schemaRef ds:uri="http://schemas.openxmlformats.org/officeDocument/2006/bibliography"/>
  </ds:schemaRefs>
</ds:datastoreItem>
</file>

<file path=customXml/itemProps3.xml><?xml version="1.0" encoding="utf-8"?>
<ds:datastoreItem xmlns:ds="http://schemas.openxmlformats.org/officeDocument/2006/customXml" ds:itemID="{304A1F8A-C5A8-4E9C-8B63-B30DFD532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9</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Wayne Wan</cp:lastModifiedBy>
  <cp:revision>2</cp:revision>
  <cp:lastPrinted>2008-01-14T17:11:00Z</cp:lastPrinted>
  <dcterms:created xsi:type="dcterms:W3CDTF">2025-03-10T14:55:00Z</dcterms:created>
  <dcterms:modified xsi:type="dcterms:W3CDTF">2025-03-10T14:55:00Z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